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BB7" w:rsidRPr="00CC26D5" w:rsidRDefault="00821DED" w:rsidP="00EB5BB7">
      <w:pPr>
        <w:pStyle w:val="Nzev"/>
        <w:spacing w:before="0" w:after="0" w:line="240" w:lineRule="auto"/>
        <w:rPr>
          <w:sz w:val="24"/>
          <w:szCs w:val="24"/>
        </w:rPr>
      </w:pPr>
      <w:bookmarkStart w:id="0" w:name="_GoBack"/>
      <w:bookmarkEnd w:id="0"/>
      <w:r w:rsidRPr="00CC26D5">
        <w:rPr>
          <w:sz w:val="24"/>
          <w:szCs w:val="24"/>
        </w:rPr>
        <w:t>PŘÍKAZNÍ   SMLOUVA</w:t>
      </w:r>
      <w:r w:rsidR="00674DD2" w:rsidRPr="00CC26D5">
        <w:rPr>
          <w:sz w:val="24"/>
          <w:szCs w:val="24"/>
        </w:rPr>
        <w:t xml:space="preserve"> </w:t>
      </w:r>
    </w:p>
    <w:p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rsidR="007D7645" w:rsidRPr="00584922" w:rsidRDefault="007D7645" w:rsidP="00BD2805">
      <w:pPr>
        <w:spacing w:after="0" w:line="240" w:lineRule="auto"/>
        <w:ind w:left="335" w:hanging="335"/>
        <w:jc w:val="center"/>
        <w:rPr>
          <w:rFonts w:cs="Arial"/>
          <w:b/>
          <w:szCs w:val="22"/>
        </w:rPr>
      </w:pPr>
    </w:p>
    <w:p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rsidR="00E953AF" w:rsidRPr="00584922" w:rsidRDefault="00E953AF" w:rsidP="00674DD2">
      <w:pPr>
        <w:spacing w:after="0" w:line="240" w:lineRule="auto"/>
        <w:jc w:val="center"/>
        <w:rPr>
          <w:rFonts w:cs="Arial"/>
          <w:b/>
          <w:szCs w:val="22"/>
        </w:rPr>
      </w:pPr>
    </w:p>
    <w:p w:rsidR="00477762" w:rsidRPr="00DF2D77" w:rsidRDefault="00477762" w:rsidP="00477762">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rsidR="00477762" w:rsidRPr="00DF2D77" w:rsidRDefault="00477762" w:rsidP="00477762">
      <w:pPr>
        <w:spacing w:after="0" w:line="240" w:lineRule="auto"/>
        <w:ind w:left="1080" w:hanging="1080"/>
        <w:rPr>
          <w:rFonts w:cs="Arial"/>
          <w:b/>
          <w:szCs w:val="22"/>
        </w:rPr>
      </w:pPr>
    </w:p>
    <w:p w:rsidR="00477762" w:rsidRPr="00584922" w:rsidRDefault="00477762" w:rsidP="00477762">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rsidR="00477762" w:rsidRDefault="00477762" w:rsidP="00477762">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1" w:name="_Hlk13731914"/>
      <w:r w:rsidRPr="001C04F6">
        <w:rPr>
          <w:rFonts w:cs="Arial"/>
          <w:b/>
          <w:szCs w:val="22"/>
        </w:rPr>
        <w:t>pro Pardubický kraj,</w:t>
      </w:r>
    </w:p>
    <w:p w:rsidR="00477762" w:rsidRPr="00584922" w:rsidRDefault="00477762" w:rsidP="00477762">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1"/>
      <w:r w:rsidRPr="00584922">
        <w:rPr>
          <w:rFonts w:cs="Arial"/>
          <w:szCs w:val="22"/>
        </w:rPr>
        <w:tab/>
      </w:r>
      <w:r w:rsidRPr="00584922">
        <w:rPr>
          <w:rFonts w:cs="Arial"/>
          <w:szCs w:val="22"/>
        </w:rPr>
        <w:tab/>
      </w:r>
    </w:p>
    <w:p w:rsidR="00477762"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rsidR="00477762" w:rsidRPr="001C04F6" w:rsidRDefault="00477762" w:rsidP="00477762">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rsidR="00477762" w:rsidRPr="001C04F6" w:rsidRDefault="00477762" w:rsidP="00477762">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2" w:name="_Hlk13731963"/>
      <w:r w:rsidRPr="001C04F6">
        <w:rPr>
          <w:rFonts w:eastAsia="Lucida Sans Unicode" w:cs="Arial"/>
          <w:szCs w:val="22"/>
        </w:rPr>
        <w:t>Ing. Hana Jeníčková, Ph.D. – vedoucí pobočky Ústí nad Orlicí</w:t>
      </w:r>
      <w:bookmarkEnd w:id="2"/>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3" w:name="_Hlk13731947"/>
      <w:r w:rsidRPr="001C04F6">
        <w:rPr>
          <w:rFonts w:eastAsia="Lucida Sans Unicode" w:cs="Arial"/>
          <w:szCs w:val="22"/>
        </w:rPr>
        <w:t>Tvardkova 1191, 562 01 Ústí nad Orlicí</w:t>
      </w:r>
      <w:bookmarkEnd w:id="3"/>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rsidR="00477762" w:rsidRPr="00584922" w:rsidRDefault="00477762" w:rsidP="00477762">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rsidR="00667832" w:rsidRPr="00584922" w:rsidRDefault="00667832" w:rsidP="00821DED">
      <w:pPr>
        <w:tabs>
          <w:tab w:val="left" w:pos="0"/>
        </w:tabs>
        <w:spacing w:after="0" w:line="240" w:lineRule="auto"/>
        <w:rPr>
          <w:rFonts w:cs="Arial"/>
          <w:szCs w:val="22"/>
        </w:rPr>
      </w:pPr>
    </w:p>
    <w:p w:rsidR="004E691A" w:rsidRPr="00584922" w:rsidRDefault="006238EC" w:rsidP="0077221F">
      <w:pPr>
        <w:spacing w:after="0"/>
        <w:rPr>
          <w:rFonts w:cs="Arial"/>
          <w:szCs w:val="22"/>
        </w:rPr>
      </w:pPr>
      <w:r w:rsidRPr="00584922">
        <w:rPr>
          <w:rFonts w:cs="Arial"/>
          <w:szCs w:val="22"/>
        </w:rPr>
        <w:t>(</w:t>
      </w:r>
      <w:r w:rsidR="00667832" w:rsidRPr="00584922">
        <w:rPr>
          <w:rFonts w:cs="Arial"/>
          <w:szCs w:val="22"/>
        </w:rPr>
        <w:t>dále jen „příkazce“</w:t>
      </w:r>
      <w:r w:rsidRPr="00584922">
        <w:rPr>
          <w:rFonts w:cs="Arial"/>
          <w:szCs w:val="22"/>
        </w:rPr>
        <w:t>)</w:t>
      </w:r>
      <w:r w:rsidR="004E691A" w:rsidRPr="00584922">
        <w:rPr>
          <w:rFonts w:cs="Arial"/>
          <w:szCs w:val="22"/>
        </w:rPr>
        <w:tab/>
      </w:r>
    </w:p>
    <w:p w:rsidR="00E953AF" w:rsidRPr="00584922" w:rsidRDefault="00E953AF">
      <w:pPr>
        <w:rPr>
          <w:rFonts w:cs="Arial"/>
          <w:szCs w:val="22"/>
        </w:rPr>
      </w:pPr>
      <w:r w:rsidRPr="00584922">
        <w:rPr>
          <w:rFonts w:cs="Arial"/>
          <w:szCs w:val="22"/>
        </w:rPr>
        <w:t xml:space="preserve">                  </w:t>
      </w:r>
    </w:p>
    <w:p w:rsidR="00E953AF" w:rsidRPr="00584922" w:rsidRDefault="00E953AF">
      <w:pPr>
        <w:rPr>
          <w:rFonts w:cs="Arial"/>
          <w:szCs w:val="22"/>
        </w:rPr>
      </w:pPr>
      <w:r w:rsidRPr="00584922">
        <w:rPr>
          <w:rFonts w:cs="Arial"/>
          <w:szCs w:val="22"/>
        </w:rPr>
        <w:t>a</w:t>
      </w:r>
    </w:p>
    <w:p w:rsidR="00E953AF" w:rsidRPr="00584922" w:rsidRDefault="00E953AF">
      <w:pPr>
        <w:rPr>
          <w:rFonts w:cs="Arial"/>
          <w:szCs w:val="22"/>
        </w:rPr>
      </w:pPr>
    </w:p>
    <w:p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rsidR="0077221F" w:rsidRPr="00584922" w:rsidRDefault="007D7645">
      <w:pPr>
        <w:rPr>
          <w:rFonts w:cs="Arial"/>
          <w:szCs w:val="22"/>
        </w:rPr>
      </w:pPr>
      <w:r>
        <w:rPr>
          <w:rFonts w:cs="Arial"/>
          <w:szCs w:val="22"/>
        </w:rPr>
        <w:t>Jméno:</w:t>
      </w:r>
      <w:r w:rsidR="00E953AF" w:rsidRPr="00584922">
        <w:rPr>
          <w:rFonts w:cs="Arial"/>
          <w:szCs w:val="22"/>
        </w:rPr>
        <w:t xml:space="preserve"> </w:t>
      </w:r>
    </w:p>
    <w:p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821DED" w:rsidRPr="00584922" w:rsidRDefault="00821DED" w:rsidP="00821DED">
      <w:pPr>
        <w:tabs>
          <w:tab w:val="left" w:pos="0"/>
        </w:tabs>
        <w:spacing w:after="0" w:line="240" w:lineRule="auto"/>
        <w:rPr>
          <w:rFonts w:cs="Arial"/>
          <w:szCs w:val="22"/>
        </w:rPr>
      </w:pPr>
    </w:p>
    <w:p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rsidR="00667832" w:rsidRPr="00584922" w:rsidRDefault="00667832" w:rsidP="0077221F">
      <w:pPr>
        <w:spacing w:after="0"/>
        <w:rPr>
          <w:rFonts w:cs="Arial"/>
          <w:szCs w:val="22"/>
        </w:rPr>
      </w:pPr>
    </w:p>
    <w:p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rsidR="00192A55" w:rsidRPr="00584922" w:rsidRDefault="00192A55" w:rsidP="0077221F">
      <w:pPr>
        <w:spacing w:after="0"/>
        <w:rPr>
          <w:rFonts w:cs="Arial"/>
          <w:szCs w:val="22"/>
        </w:rPr>
      </w:pPr>
    </w:p>
    <w:p w:rsidR="00667832" w:rsidRPr="00584922" w:rsidRDefault="00667832" w:rsidP="0077221F">
      <w:pPr>
        <w:spacing w:after="0"/>
        <w:rPr>
          <w:rFonts w:cs="Arial"/>
          <w:szCs w:val="22"/>
        </w:rPr>
      </w:pPr>
    </w:p>
    <w:p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rsidR="004B0FAE" w:rsidRPr="00584922" w:rsidRDefault="004B0FAE" w:rsidP="004B0FAE">
      <w:pPr>
        <w:spacing w:after="0" w:line="240" w:lineRule="auto"/>
        <w:jc w:val="center"/>
        <w:rPr>
          <w:rFonts w:cs="Arial"/>
          <w:b/>
          <w:szCs w:val="22"/>
          <w:u w:val="single"/>
        </w:rPr>
      </w:pPr>
    </w:p>
    <w:p w:rsidR="00E953AF" w:rsidRPr="00584922" w:rsidRDefault="0057161A" w:rsidP="00CC26D5">
      <w:pPr>
        <w:pStyle w:val="TSTextlnkuslovan"/>
        <w:numPr>
          <w:ilvl w:val="1"/>
          <w:numId w:val="3"/>
        </w:numPr>
        <w:tabs>
          <w:tab w:val="clear" w:pos="1588"/>
          <w:tab w:val="num" w:pos="709"/>
        </w:tabs>
        <w:spacing w:after="0" w:line="240" w:lineRule="auto"/>
        <w:ind w:left="709" w:hanging="709"/>
        <w:jc w:val="both"/>
        <w:rPr>
          <w:rFonts w:cs="Arial"/>
          <w:szCs w:val="22"/>
        </w:rPr>
      </w:pPr>
      <w:bookmarkStart w:id="4"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4"/>
      <w:r w:rsidR="00337DC4" w:rsidRPr="00584922">
        <w:rPr>
          <w:rFonts w:cs="Arial"/>
          <w:szCs w:val="22"/>
          <w:lang w:val="cs-CZ"/>
        </w:rPr>
        <w:t xml:space="preserve"> </w:t>
      </w:r>
    </w:p>
    <w:p w:rsidR="00337DC4" w:rsidRPr="00584922" w:rsidRDefault="00337DC4" w:rsidP="00337DC4">
      <w:pPr>
        <w:pStyle w:val="TSTextlnkuslovan"/>
        <w:spacing w:after="0" w:line="240" w:lineRule="auto"/>
        <w:ind w:left="737"/>
        <w:jc w:val="both"/>
        <w:rPr>
          <w:rFonts w:cs="Arial"/>
          <w:szCs w:val="22"/>
          <w:lang w:val="cs-CZ"/>
        </w:rPr>
      </w:pPr>
    </w:p>
    <w:p w:rsidR="00477762" w:rsidRPr="00DF2D77" w:rsidRDefault="00337DC4" w:rsidP="00477762">
      <w:pPr>
        <w:spacing w:before="60" w:line="280" w:lineRule="atLeast"/>
        <w:ind w:left="426"/>
        <w:jc w:val="both"/>
        <w:rPr>
          <w:rFonts w:cs="Arial"/>
          <w:b/>
          <w:szCs w:val="22"/>
          <w:lang w:val="en-US"/>
        </w:rPr>
      </w:pPr>
      <w:r w:rsidRPr="00584922">
        <w:rPr>
          <w:rFonts w:cs="Arial"/>
          <w:szCs w:val="22"/>
        </w:rPr>
        <w:t xml:space="preserve">     </w:t>
      </w:r>
      <w:r w:rsidR="00477762" w:rsidRPr="00DF2D77">
        <w:rPr>
          <w:rFonts w:cs="Arial"/>
          <w:szCs w:val="22"/>
        </w:rPr>
        <w:t xml:space="preserve">Název stavby: </w:t>
      </w:r>
      <w:proofErr w:type="spellStart"/>
      <w:r w:rsidR="00477762">
        <w:rPr>
          <w:rFonts w:cs="Arial"/>
          <w:b/>
          <w:szCs w:val="22"/>
          <w:lang w:val="en-US"/>
        </w:rPr>
        <w:t>Realizace</w:t>
      </w:r>
      <w:proofErr w:type="spellEnd"/>
      <w:r w:rsidR="00477762">
        <w:rPr>
          <w:rFonts w:cs="Arial"/>
          <w:b/>
          <w:szCs w:val="22"/>
          <w:lang w:val="en-US"/>
        </w:rPr>
        <w:t xml:space="preserve"> </w:t>
      </w:r>
      <w:proofErr w:type="spellStart"/>
      <w:r w:rsidR="00477762">
        <w:rPr>
          <w:rFonts w:cs="Arial"/>
          <w:b/>
          <w:szCs w:val="22"/>
          <w:lang w:val="en-US"/>
        </w:rPr>
        <w:t>společných</w:t>
      </w:r>
      <w:proofErr w:type="spellEnd"/>
      <w:r w:rsidR="00477762">
        <w:rPr>
          <w:rFonts w:cs="Arial"/>
          <w:b/>
          <w:szCs w:val="22"/>
          <w:lang w:val="en-US"/>
        </w:rPr>
        <w:t xml:space="preserve"> </w:t>
      </w:r>
      <w:proofErr w:type="spellStart"/>
      <w:r w:rsidR="00477762">
        <w:rPr>
          <w:rFonts w:cs="Arial"/>
          <w:b/>
          <w:szCs w:val="22"/>
          <w:lang w:val="en-US"/>
        </w:rPr>
        <w:t>zařízení</w:t>
      </w:r>
      <w:proofErr w:type="spellEnd"/>
      <w:r w:rsidR="00477762">
        <w:rPr>
          <w:rFonts w:cs="Arial"/>
          <w:b/>
          <w:szCs w:val="22"/>
          <w:lang w:val="en-US"/>
        </w:rPr>
        <w:t xml:space="preserve"> v </w:t>
      </w:r>
      <w:proofErr w:type="spellStart"/>
      <w:r w:rsidR="00477762">
        <w:rPr>
          <w:rFonts w:cs="Arial"/>
          <w:b/>
          <w:szCs w:val="22"/>
          <w:lang w:val="en-US"/>
        </w:rPr>
        <w:t>k.ú</w:t>
      </w:r>
      <w:proofErr w:type="spellEnd"/>
      <w:r w:rsidR="00477762">
        <w:rPr>
          <w:rFonts w:cs="Arial"/>
          <w:b/>
          <w:szCs w:val="22"/>
          <w:lang w:val="en-US"/>
        </w:rPr>
        <w:t xml:space="preserve">. </w:t>
      </w:r>
      <w:proofErr w:type="spellStart"/>
      <w:r w:rsidR="00477762">
        <w:rPr>
          <w:rFonts w:cs="Arial"/>
          <w:b/>
          <w:szCs w:val="22"/>
          <w:lang w:val="en-US"/>
        </w:rPr>
        <w:t>Dolní</w:t>
      </w:r>
      <w:proofErr w:type="spellEnd"/>
      <w:r w:rsidR="00477762">
        <w:rPr>
          <w:rFonts w:cs="Arial"/>
          <w:b/>
          <w:szCs w:val="22"/>
          <w:lang w:val="en-US"/>
        </w:rPr>
        <w:t xml:space="preserve"> </w:t>
      </w:r>
      <w:proofErr w:type="spellStart"/>
      <w:r w:rsidR="00477762">
        <w:rPr>
          <w:rFonts w:cs="Arial"/>
          <w:b/>
          <w:szCs w:val="22"/>
          <w:lang w:val="en-US"/>
        </w:rPr>
        <w:t>Lipka</w:t>
      </w:r>
      <w:proofErr w:type="spellEnd"/>
    </w:p>
    <w:p w:rsidR="00477762" w:rsidRPr="00DF2D77" w:rsidRDefault="00477762" w:rsidP="00477762">
      <w:pPr>
        <w:spacing w:before="60" w:line="280" w:lineRule="atLeast"/>
        <w:ind w:left="426"/>
        <w:jc w:val="both"/>
        <w:rPr>
          <w:rFonts w:cs="Arial"/>
          <w:b/>
          <w:szCs w:val="22"/>
          <w:lang w:val="en-US"/>
        </w:rPr>
      </w:pPr>
      <w:r w:rsidRPr="000E5064">
        <w:rPr>
          <w:rFonts w:cs="Arial"/>
          <w:szCs w:val="22"/>
          <w:lang w:val="en-US"/>
        </w:rPr>
        <w:tab/>
      </w:r>
      <w:proofErr w:type="spellStart"/>
      <w:r w:rsidRPr="000E5064">
        <w:rPr>
          <w:rFonts w:cs="Arial"/>
          <w:szCs w:val="22"/>
          <w:lang w:val="en-US"/>
        </w:rPr>
        <w:t>Zhotovitel</w:t>
      </w:r>
      <w:proofErr w:type="spellEnd"/>
      <w:r w:rsidRPr="000E5064">
        <w:rPr>
          <w:rFonts w:cs="Arial"/>
          <w:szCs w:val="22"/>
          <w:lang w:val="en-US"/>
        </w:rPr>
        <w:t xml:space="preserve"> </w:t>
      </w:r>
      <w:proofErr w:type="spellStart"/>
      <w:r w:rsidRPr="000E5064">
        <w:rPr>
          <w:rFonts w:cs="Arial"/>
          <w:szCs w:val="22"/>
          <w:lang w:val="en-US"/>
        </w:rPr>
        <w:t>stavby</w:t>
      </w:r>
      <w:proofErr w:type="spellEnd"/>
      <w:r w:rsidRPr="000E5064">
        <w:rPr>
          <w:rFonts w:cs="Arial"/>
          <w:szCs w:val="22"/>
          <w:lang w:val="en-US"/>
        </w:rPr>
        <w:t>:</w:t>
      </w:r>
      <w:r w:rsidRPr="00DF2D77">
        <w:rPr>
          <w:rFonts w:cs="Arial"/>
          <w:szCs w:val="22"/>
          <w:u w:val="single"/>
          <w:lang w:val="en-US"/>
        </w:rPr>
        <w:t xml:space="preserve"> </w:t>
      </w:r>
      <w:r w:rsidRPr="00DF2D77">
        <w:rPr>
          <w:rFonts w:cs="Arial"/>
          <w:b/>
          <w:szCs w:val="22"/>
          <w:highlight w:val="yellow"/>
          <w:lang w:val="en-US"/>
        </w:rPr>
        <w:t>[</w:t>
      </w:r>
      <w:proofErr w:type="spellStart"/>
      <w:r>
        <w:rPr>
          <w:rFonts w:cs="Arial"/>
          <w:b/>
          <w:szCs w:val="22"/>
          <w:highlight w:val="yellow"/>
          <w:lang w:val="en-US"/>
        </w:rPr>
        <w:t>bude</w:t>
      </w:r>
      <w:proofErr w:type="spellEnd"/>
      <w:r>
        <w:rPr>
          <w:rFonts w:cs="Arial"/>
          <w:b/>
          <w:szCs w:val="22"/>
          <w:highlight w:val="yellow"/>
          <w:lang w:val="en-US"/>
        </w:rPr>
        <w:t xml:space="preserve"> </w:t>
      </w:r>
      <w:proofErr w:type="spellStart"/>
      <w:r>
        <w:rPr>
          <w:rFonts w:cs="Arial"/>
          <w:b/>
          <w:szCs w:val="22"/>
          <w:highlight w:val="yellow"/>
          <w:lang w:val="en-US"/>
        </w:rPr>
        <w:t>doplněno</w:t>
      </w:r>
      <w:proofErr w:type="spellEnd"/>
      <w:r w:rsidRPr="00DF2D77">
        <w:rPr>
          <w:rFonts w:cs="Arial"/>
          <w:b/>
          <w:szCs w:val="22"/>
          <w:highlight w:val="yellow"/>
          <w:lang w:val="en-US"/>
        </w:rPr>
        <w:t>]</w:t>
      </w:r>
    </w:p>
    <w:p w:rsidR="00477762" w:rsidRPr="00DF2D77" w:rsidRDefault="00477762" w:rsidP="00477762">
      <w:pPr>
        <w:spacing w:before="60" w:line="280" w:lineRule="atLeast"/>
        <w:ind w:left="426"/>
        <w:jc w:val="both"/>
        <w:rPr>
          <w:rFonts w:cs="Arial"/>
          <w:b/>
          <w:szCs w:val="22"/>
          <w:lang w:val="en-US"/>
        </w:rPr>
      </w:pPr>
      <w:r w:rsidRPr="00DF2D77">
        <w:rPr>
          <w:rFonts w:cs="Arial"/>
          <w:szCs w:val="22"/>
          <w:lang w:val="en-US"/>
        </w:rPr>
        <w:t xml:space="preserve">     </w:t>
      </w: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roofErr w:type="spellStart"/>
      <w:r>
        <w:rPr>
          <w:rFonts w:cs="Arial"/>
          <w:b/>
          <w:szCs w:val="22"/>
          <w:lang w:val="en-US"/>
        </w:rPr>
        <w:t>k.ú</w:t>
      </w:r>
      <w:proofErr w:type="spellEnd"/>
      <w:r>
        <w:rPr>
          <w:rFonts w:cs="Arial"/>
          <w:b/>
          <w:szCs w:val="22"/>
          <w:lang w:val="en-US"/>
        </w:rPr>
        <w:t xml:space="preserve">. </w:t>
      </w:r>
      <w:proofErr w:type="spellStart"/>
      <w:r>
        <w:rPr>
          <w:rFonts w:cs="Arial"/>
          <w:b/>
          <w:szCs w:val="22"/>
          <w:lang w:val="en-US"/>
        </w:rPr>
        <w:t>Dolní</w:t>
      </w:r>
      <w:proofErr w:type="spellEnd"/>
      <w:r>
        <w:rPr>
          <w:rFonts w:cs="Arial"/>
          <w:b/>
          <w:szCs w:val="22"/>
          <w:lang w:val="en-US"/>
        </w:rPr>
        <w:t xml:space="preserve"> </w:t>
      </w:r>
      <w:proofErr w:type="spellStart"/>
      <w:r>
        <w:rPr>
          <w:rFonts w:cs="Arial"/>
          <w:b/>
          <w:szCs w:val="22"/>
          <w:lang w:val="en-US"/>
        </w:rPr>
        <w:t>Lipka</w:t>
      </w:r>
      <w:proofErr w:type="spellEnd"/>
    </w:p>
    <w:p w:rsidR="00337DC4" w:rsidRPr="00584922" w:rsidRDefault="00337DC4" w:rsidP="00477762">
      <w:pPr>
        <w:spacing w:before="60" w:line="280" w:lineRule="atLeast"/>
        <w:ind w:left="426"/>
        <w:jc w:val="both"/>
        <w:rPr>
          <w:rFonts w:cs="Arial"/>
          <w:b/>
          <w:szCs w:val="22"/>
          <w:lang w:val="en-US"/>
        </w:rPr>
      </w:pPr>
    </w:p>
    <w:p w:rsidR="00337DC4" w:rsidRDefault="00337DC4" w:rsidP="00337DC4">
      <w:pPr>
        <w:spacing w:before="60" w:line="280" w:lineRule="atLeast"/>
        <w:ind w:left="426"/>
        <w:jc w:val="both"/>
        <w:rPr>
          <w:rFonts w:cs="Arial"/>
          <w:szCs w:val="22"/>
          <w:lang w:val="en-US"/>
        </w:rPr>
      </w:pPr>
      <w:r w:rsidRPr="00584922">
        <w:rPr>
          <w:rFonts w:cs="Arial"/>
          <w:szCs w:val="22"/>
          <w:lang w:val="en-US"/>
        </w:rPr>
        <w:t xml:space="preserve">     </w:t>
      </w: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
    <w:p w:rsidR="00477762" w:rsidRDefault="00477762" w:rsidP="00477762">
      <w:pPr>
        <w:spacing w:before="60" w:line="280" w:lineRule="atLeast"/>
        <w:ind w:left="709"/>
        <w:jc w:val="both"/>
      </w:pPr>
      <w:r>
        <w:rPr>
          <w:bCs/>
        </w:rPr>
        <w:t xml:space="preserve">Společná zařízení dle projektové dokumentace zpracované společností </w:t>
      </w:r>
      <w:bookmarkStart w:id="5" w:name="_Hlk44577161"/>
      <w:r>
        <w:t>AGPOL s.r.o., Jungmannova 153/12, 779 00 Olomouc</w:t>
      </w:r>
      <w:r w:rsidRPr="00E9484B">
        <w:t xml:space="preserve">, pod zakázkovým číslem </w:t>
      </w:r>
      <w:r>
        <w:t>2778/060</w:t>
      </w:r>
      <w:bookmarkEnd w:id="5"/>
      <w:r>
        <w:t>.</w:t>
      </w:r>
    </w:p>
    <w:p w:rsidR="00477762" w:rsidRPr="00256A7F" w:rsidRDefault="00477762" w:rsidP="00477762">
      <w:pPr>
        <w:spacing w:before="60" w:line="280" w:lineRule="atLeast"/>
        <w:ind w:left="709"/>
        <w:jc w:val="both"/>
      </w:pPr>
      <w:r w:rsidRPr="00256A7F">
        <w:t>SO 01</w:t>
      </w:r>
      <w:r w:rsidRPr="00256A7F">
        <w:tab/>
        <w:t xml:space="preserve"> Polní cesta C1 (realizován bude pouze úsek v km 0,000 – 0,270)</w:t>
      </w:r>
    </w:p>
    <w:p w:rsidR="00477762" w:rsidRPr="00256A7F" w:rsidRDefault="00477762" w:rsidP="00477762">
      <w:pPr>
        <w:ind w:left="709"/>
        <w:outlineLvl w:val="0"/>
      </w:pPr>
      <w:r w:rsidRPr="00256A7F">
        <w:t xml:space="preserve">SO 03 </w:t>
      </w:r>
      <w:r w:rsidRPr="00256A7F">
        <w:tab/>
        <w:t>Rybník Mokřiny</w:t>
      </w:r>
    </w:p>
    <w:p w:rsidR="00477762" w:rsidRPr="00256A7F" w:rsidRDefault="00477762" w:rsidP="00477762">
      <w:pPr>
        <w:autoSpaceDE w:val="0"/>
        <w:autoSpaceDN w:val="0"/>
        <w:adjustRightInd w:val="0"/>
        <w:ind w:left="709"/>
      </w:pPr>
      <w:r w:rsidRPr="00256A7F">
        <w:t xml:space="preserve">SO 04 </w:t>
      </w:r>
      <w:r w:rsidRPr="00256A7F">
        <w:tab/>
        <w:t xml:space="preserve">Rybník Štefkův les </w:t>
      </w:r>
    </w:p>
    <w:p w:rsidR="00477762" w:rsidRPr="00256A7F" w:rsidRDefault="00477762" w:rsidP="00477762">
      <w:pPr>
        <w:autoSpaceDE w:val="0"/>
        <w:autoSpaceDN w:val="0"/>
        <w:adjustRightInd w:val="0"/>
        <w:ind w:left="709"/>
      </w:pPr>
      <w:r w:rsidRPr="00256A7F">
        <w:t xml:space="preserve">SO 06 </w:t>
      </w:r>
      <w:r w:rsidRPr="00256A7F">
        <w:tab/>
        <w:t xml:space="preserve">Výsadba části biokoridoru RBK 820 </w:t>
      </w:r>
    </w:p>
    <w:p w:rsidR="00477762" w:rsidRPr="00477762" w:rsidRDefault="00477762" w:rsidP="00477762">
      <w:pPr>
        <w:ind w:left="709"/>
        <w:rPr>
          <w:bCs/>
        </w:rPr>
      </w:pPr>
      <w:r w:rsidRPr="00477762">
        <w:rPr>
          <w:bCs/>
        </w:rPr>
        <w:t xml:space="preserve">Ostatní, výše neuvedené stavební objekty </w:t>
      </w:r>
      <w:r>
        <w:rPr>
          <w:bCs/>
        </w:rPr>
        <w:t>nebudou realizovány</w:t>
      </w:r>
      <w:r w:rsidRPr="00477762">
        <w:rPr>
          <w:bCs/>
        </w:rPr>
        <w:t xml:space="preserve">, přestože jsou součástí projektové dokumentace. </w:t>
      </w:r>
    </w:p>
    <w:p w:rsidR="00477762" w:rsidRPr="00256A7F" w:rsidRDefault="00477762" w:rsidP="00477762">
      <w:pPr>
        <w:ind w:left="709"/>
        <w:rPr>
          <w:rFonts w:cs="Arial"/>
          <w:szCs w:val="22"/>
          <w:u w:val="single"/>
        </w:rPr>
      </w:pPr>
      <w:r w:rsidRPr="00256A7F">
        <w:rPr>
          <w:rFonts w:cs="Arial"/>
          <w:szCs w:val="22"/>
          <w:u w:val="single"/>
        </w:rPr>
        <w:t xml:space="preserve">SO 01 </w:t>
      </w:r>
      <w:r w:rsidRPr="00256A7F">
        <w:rPr>
          <w:rFonts w:cs="Arial"/>
          <w:szCs w:val="22"/>
          <w:u w:val="single"/>
        </w:rPr>
        <w:tab/>
      </w:r>
      <w:r w:rsidRPr="00256A7F">
        <w:rPr>
          <w:rFonts w:cs="Arial"/>
          <w:szCs w:val="22"/>
          <w:u w:val="single"/>
        </w:rPr>
        <w:tab/>
        <w:t>Polní cesta C1</w:t>
      </w:r>
    </w:p>
    <w:p w:rsidR="00477762" w:rsidRDefault="00477762" w:rsidP="00477762">
      <w:pPr>
        <w:spacing w:after="0"/>
        <w:ind w:left="709"/>
        <w:jc w:val="both"/>
        <w:rPr>
          <w:rFonts w:cs="Arial"/>
          <w:szCs w:val="22"/>
        </w:rPr>
      </w:pPr>
      <w:r w:rsidRPr="00AA42F8">
        <w:rPr>
          <w:rFonts w:cs="Arial"/>
          <w:szCs w:val="22"/>
        </w:rPr>
        <w:t xml:space="preserve">Jedná se o rekonstrukci polní cesty, která začíná napojením na stávající silnici III/31223 a dále vede severovýchodním směrem podél navrženého RBK 820. Po křížení </w:t>
      </w:r>
      <w:proofErr w:type="spellStart"/>
      <w:r w:rsidRPr="00AA42F8">
        <w:rPr>
          <w:rFonts w:cs="Arial"/>
          <w:szCs w:val="22"/>
        </w:rPr>
        <w:t>Lipkovského</w:t>
      </w:r>
      <w:proofErr w:type="spellEnd"/>
      <w:r w:rsidRPr="00AA42F8">
        <w:rPr>
          <w:rFonts w:cs="Arial"/>
          <w:szCs w:val="22"/>
        </w:rPr>
        <w:t xml:space="preserve"> potoka</w:t>
      </w:r>
      <w:r>
        <w:rPr>
          <w:rFonts w:cs="Arial"/>
          <w:szCs w:val="22"/>
        </w:rPr>
        <w:t xml:space="preserve"> za mostem v km 0,270 rekonstrukce skončí. </w:t>
      </w:r>
    </w:p>
    <w:p w:rsidR="00477762" w:rsidRPr="00256A7F" w:rsidRDefault="00477762" w:rsidP="00477762">
      <w:pPr>
        <w:spacing w:after="0"/>
        <w:ind w:left="709"/>
        <w:jc w:val="both"/>
      </w:pPr>
      <w:r>
        <w:rPr>
          <w:rFonts w:cs="Arial"/>
          <w:szCs w:val="22"/>
        </w:rPr>
        <w:t>K</w:t>
      </w:r>
      <w:r w:rsidRPr="00256A7F">
        <w:rPr>
          <w:rFonts w:cs="Arial"/>
          <w:szCs w:val="22"/>
        </w:rPr>
        <w:t xml:space="preserve">onstrukce polní cesty (PN 5-2), třída dopravního zatížení V, návrhová úroveň porušení </w:t>
      </w:r>
      <w:r w:rsidRPr="00256A7F">
        <w:t>vozovky D2.</w:t>
      </w:r>
    </w:p>
    <w:p w:rsidR="00477762" w:rsidRPr="00256A7F" w:rsidRDefault="00477762" w:rsidP="00477762">
      <w:pPr>
        <w:tabs>
          <w:tab w:val="left" w:pos="3686"/>
        </w:tabs>
        <w:spacing w:after="0"/>
        <w:ind w:left="709"/>
      </w:pPr>
      <w:r w:rsidRPr="00256A7F">
        <w:t>Asfaltový beton obrusný ACO 11</w:t>
      </w:r>
      <w:r w:rsidRPr="00256A7F">
        <w:tab/>
        <w:t xml:space="preserve"> </w:t>
      </w:r>
      <w:r w:rsidRPr="00256A7F">
        <w:tab/>
        <w:t xml:space="preserve">40 mm </w:t>
      </w:r>
    </w:p>
    <w:p w:rsidR="00477762" w:rsidRPr="00256A7F" w:rsidRDefault="00477762" w:rsidP="00477762">
      <w:pPr>
        <w:tabs>
          <w:tab w:val="left" w:pos="3686"/>
        </w:tabs>
        <w:spacing w:after="0"/>
        <w:ind w:left="709"/>
      </w:pPr>
      <w:r w:rsidRPr="00256A7F">
        <w:t xml:space="preserve">Postřik spoj. emulzí PS-E 0,3 kg/ m² </w:t>
      </w:r>
    </w:p>
    <w:p w:rsidR="00477762" w:rsidRPr="00256A7F" w:rsidRDefault="00477762" w:rsidP="00477762">
      <w:pPr>
        <w:tabs>
          <w:tab w:val="left" w:pos="3686"/>
        </w:tabs>
        <w:spacing w:after="0"/>
        <w:ind w:left="709"/>
      </w:pPr>
      <w:r w:rsidRPr="00256A7F">
        <w:t>Asfaltový beton podkladní ACP 16</w:t>
      </w:r>
      <w:proofErr w:type="gramStart"/>
      <w:r w:rsidRPr="00256A7F">
        <w:t xml:space="preserve">+  </w:t>
      </w:r>
      <w:r w:rsidRPr="00256A7F">
        <w:tab/>
      </w:r>
      <w:proofErr w:type="gramEnd"/>
      <w:r w:rsidRPr="00256A7F">
        <w:t xml:space="preserve">50 mm </w:t>
      </w:r>
    </w:p>
    <w:p w:rsidR="00477762" w:rsidRDefault="00477762" w:rsidP="00477762">
      <w:pPr>
        <w:tabs>
          <w:tab w:val="left" w:pos="3686"/>
        </w:tabs>
        <w:spacing w:after="0"/>
        <w:ind w:left="709"/>
      </w:pPr>
      <w:r w:rsidRPr="00256A7F">
        <w:t xml:space="preserve">Infiltrační postřik PI 2,5kg/m² </w:t>
      </w:r>
    </w:p>
    <w:p w:rsidR="00477762" w:rsidRPr="00256A7F" w:rsidRDefault="00477762" w:rsidP="00477762">
      <w:pPr>
        <w:tabs>
          <w:tab w:val="left" w:pos="3686"/>
        </w:tabs>
        <w:spacing w:after="0"/>
        <w:ind w:left="709"/>
      </w:pPr>
      <w:r w:rsidRPr="00256A7F">
        <w:t xml:space="preserve">Vibrovaný štěrk VŠ </w:t>
      </w:r>
      <w:r w:rsidRPr="00256A7F">
        <w:tab/>
      </w:r>
      <w:r>
        <w:tab/>
      </w:r>
      <w:r>
        <w:tab/>
      </w:r>
      <w:r w:rsidRPr="00256A7F">
        <w:t xml:space="preserve">150 mm </w:t>
      </w:r>
    </w:p>
    <w:p w:rsidR="00477762" w:rsidRPr="00256A7F" w:rsidRDefault="00477762" w:rsidP="00477762">
      <w:pPr>
        <w:tabs>
          <w:tab w:val="left" w:pos="3686"/>
        </w:tabs>
        <w:spacing w:after="0"/>
        <w:ind w:left="709"/>
      </w:pPr>
      <w:r w:rsidRPr="00256A7F">
        <w:t>Štěrkodrť   ŠDB</w:t>
      </w:r>
      <w:r w:rsidRPr="00256A7F">
        <w:tab/>
      </w:r>
      <w:r>
        <w:tab/>
      </w:r>
      <w:r w:rsidRPr="00256A7F">
        <w:tab/>
        <w:t xml:space="preserve">200 mm </w:t>
      </w:r>
    </w:p>
    <w:p w:rsidR="00477762" w:rsidRPr="00256A7F" w:rsidRDefault="00477762" w:rsidP="00477762">
      <w:pPr>
        <w:tabs>
          <w:tab w:val="left" w:pos="3686"/>
        </w:tabs>
        <w:spacing w:after="0"/>
        <w:ind w:left="709"/>
      </w:pPr>
      <w:r w:rsidRPr="00256A7F">
        <w:t>-------------------------------------------------------------------------------------------------------------</w:t>
      </w:r>
    </w:p>
    <w:p w:rsidR="00477762" w:rsidRPr="00256A7F" w:rsidRDefault="00477762" w:rsidP="00477762">
      <w:pPr>
        <w:tabs>
          <w:tab w:val="left" w:pos="3686"/>
        </w:tabs>
        <w:spacing w:after="0"/>
        <w:ind w:left="709"/>
      </w:pPr>
      <w:r w:rsidRPr="00256A7F">
        <w:t>celková tloušťka komunikace</w:t>
      </w:r>
      <w:r w:rsidRPr="00256A7F">
        <w:tab/>
      </w:r>
      <w:r w:rsidRPr="00256A7F">
        <w:tab/>
      </w:r>
      <w:r w:rsidRPr="00256A7F">
        <w:tab/>
      </w:r>
      <w:r w:rsidRPr="00256A7F">
        <w:tab/>
      </w:r>
      <w:r w:rsidRPr="00256A7F">
        <w:tab/>
        <w:t>440 mm</w:t>
      </w:r>
    </w:p>
    <w:p w:rsidR="00477762" w:rsidRPr="00256A7F" w:rsidRDefault="00477762" w:rsidP="00477762">
      <w:pPr>
        <w:ind w:left="709"/>
      </w:pPr>
    </w:p>
    <w:p w:rsidR="00477762" w:rsidRPr="00256A7F" w:rsidRDefault="00477762" w:rsidP="00477762">
      <w:pPr>
        <w:tabs>
          <w:tab w:val="left" w:pos="4536"/>
        </w:tabs>
        <w:ind w:left="709"/>
        <w:rPr>
          <w:u w:val="single"/>
        </w:rPr>
      </w:pPr>
      <w:r w:rsidRPr="00256A7F">
        <w:rPr>
          <w:u w:val="single"/>
        </w:rPr>
        <w:t>SO 03 Rybník Mokřiny</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 xml:space="preserve">Rybník je umístěn na levostranném přítoku </w:t>
      </w:r>
      <w:proofErr w:type="spellStart"/>
      <w:r w:rsidRPr="00256A7F">
        <w:rPr>
          <w:rFonts w:cs="Times New Roman"/>
          <w:sz w:val="22"/>
        </w:rPr>
        <w:t>Lipkovského</w:t>
      </w:r>
      <w:proofErr w:type="spellEnd"/>
      <w:r w:rsidRPr="00256A7F">
        <w:rPr>
          <w:rFonts w:cs="Times New Roman"/>
          <w:sz w:val="22"/>
        </w:rPr>
        <w:t xml:space="preserve"> potoka cca ř. km 0,</w:t>
      </w:r>
      <w:r>
        <w:rPr>
          <w:rFonts w:cs="Times New Roman"/>
          <w:sz w:val="22"/>
        </w:rPr>
        <w:t>190</w:t>
      </w:r>
      <w:r w:rsidRPr="00256A7F">
        <w:rPr>
          <w:rFonts w:cs="Times New Roman"/>
          <w:sz w:val="22"/>
        </w:rPr>
        <w:t>.</w:t>
      </w:r>
    </w:p>
    <w:p w:rsidR="00477762" w:rsidRDefault="00477762" w:rsidP="00477762">
      <w:pPr>
        <w:tabs>
          <w:tab w:val="left" w:pos="4536"/>
        </w:tabs>
        <w:spacing w:after="0"/>
        <w:ind w:left="709"/>
      </w:pPr>
    </w:p>
    <w:p w:rsidR="00477762" w:rsidRPr="00256A7F" w:rsidRDefault="00477762" w:rsidP="00477762">
      <w:pPr>
        <w:tabs>
          <w:tab w:val="left" w:pos="4536"/>
        </w:tabs>
        <w:spacing w:after="0"/>
        <w:ind w:left="709"/>
      </w:pPr>
      <w:r w:rsidRPr="00256A7F">
        <w:t>Kóta koruny hráze:</w:t>
      </w:r>
      <w:r w:rsidRPr="00256A7F">
        <w:tab/>
      </w:r>
      <w:r w:rsidRPr="00256A7F">
        <w:tab/>
      </w:r>
      <w:r w:rsidRPr="00256A7F">
        <w:tab/>
        <w:t>539,00 m n. m.</w:t>
      </w:r>
    </w:p>
    <w:p w:rsidR="00477762" w:rsidRPr="00256A7F" w:rsidRDefault="00477762" w:rsidP="00477762">
      <w:pPr>
        <w:tabs>
          <w:tab w:val="left" w:pos="4536"/>
        </w:tabs>
        <w:spacing w:after="0"/>
        <w:ind w:left="709"/>
      </w:pPr>
      <w:r w:rsidRPr="00256A7F">
        <w:t>Kóta koruny bezpečnostního přelivu:</w:t>
      </w:r>
      <w:r w:rsidRPr="00256A7F">
        <w:tab/>
      </w:r>
      <w:r w:rsidRPr="00256A7F">
        <w:tab/>
      </w:r>
      <w:r w:rsidRPr="00256A7F">
        <w:tab/>
        <w:t>538,50 m n. 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Kóta hladiny stálého nadržení</w:t>
      </w:r>
      <w:r w:rsidRPr="00256A7F">
        <w:rPr>
          <w:rFonts w:cs="Times New Roman"/>
          <w:sz w:val="22"/>
        </w:rPr>
        <w:tab/>
      </w:r>
      <w:r w:rsidRPr="00256A7F">
        <w:rPr>
          <w:rFonts w:cs="Times New Roman"/>
          <w:sz w:val="22"/>
        </w:rPr>
        <w:tab/>
      </w:r>
      <w:r w:rsidRPr="00256A7F">
        <w:rPr>
          <w:rFonts w:cs="Times New Roman"/>
          <w:sz w:val="22"/>
        </w:rPr>
        <w:tab/>
        <w:t>538,45 m n.m.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Kóta maximální hladiny rybníka</w:t>
      </w:r>
      <w:r w:rsidRPr="00256A7F">
        <w:rPr>
          <w:rFonts w:cs="Times New Roman"/>
          <w:sz w:val="22"/>
        </w:rPr>
        <w:tab/>
      </w:r>
      <w:r w:rsidRPr="00256A7F">
        <w:rPr>
          <w:rFonts w:cs="Times New Roman"/>
          <w:sz w:val="22"/>
        </w:rPr>
        <w:tab/>
      </w:r>
      <w:r w:rsidRPr="00256A7F">
        <w:rPr>
          <w:rFonts w:cs="Times New Roman"/>
          <w:sz w:val="22"/>
        </w:rPr>
        <w:tab/>
        <w:t>538,75 m n.m.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Plocha hladiny stálého nadržení</w:t>
      </w:r>
      <w:r w:rsidRPr="00256A7F">
        <w:rPr>
          <w:rFonts w:cs="Times New Roman"/>
          <w:sz w:val="22"/>
        </w:rPr>
        <w:tab/>
      </w:r>
      <w:r w:rsidRPr="00256A7F">
        <w:rPr>
          <w:rFonts w:cs="Times New Roman"/>
          <w:sz w:val="22"/>
        </w:rPr>
        <w:tab/>
      </w:r>
      <w:r w:rsidRPr="00256A7F">
        <w:rPr>
          <w:rFonts w:cs="Times New Roman"/>
          <w:sz w:val="22"/>
        </w:rPr>
        <w:tab/>
        <w:t>3 755 m²</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Maximální plocha hladiny</w:t>
      </w:r>
      <w:r w:rsidRPr="00256A7F">
        <w:rPr>
          <w:rFonts w:cs="Times New Roman"/>
          <w:sz w:val="22"/>
        </w:rPr>
        <w:tab/>
      </w:r>
      <w:r w:rsidRPr="00256A7F">
        <w:rPr>
          <w:rFonts w:cs="Times New Roman"/>
          <w:sz w:val="22"/>
        </w:rPr>
        <w:tab/>
      </w:r>
      <w:r w:rsidRPr="00256A7F">
        <w:rPr>
          <w:rFonts w:cs="Times New Roman"/>
          <w:sz w:val="22"/>
        </w:rPr>
        <w:tab/>
        <w:t>4 077 m²</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lastRenderedPageBreak/>
        <w:t>Objem vody při normální hladině cca</w:t>
      </w:r>
      <w:r w:rsidRPr="00256A7F">
        <w:rPr>
          <w:rFonts w:cs="Times New Roman"/>
          <w:sz w:val="22"/>
        </w:rPr>
        <w:tab/>
      </w:r>
      <w:r>
        <w:rPr>
          <w:rFonts w:cs="Times New Roman"/>
          <w:sz w:val="22"/>
        </w:rPr>
        <w:tab/>
      </w:r>
      <w:r>
        <w:rPr>
          <w:rFonts w:cs="Times New Roman"/>
          <w:sz w:val="22"/>
        </w:rPr>
        <w:tab/>
      </w:r>
      <w:r w:rsidRPr="00256A7F">
        <w:rPr>
          <w:rFonts w:cs="Times New Roman"/>
          <w:sz w:val="22"/>
        </w:rPr>
        <w:t>3 930 m³</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Objem vody při maximální hladině cca</w:t>
      </w:r>
      <w:r w:rsidRPr="00256A7F">
        <w:rPr>
          <w:rFonts w:cs="Times New Roman"/>
          <w:sz w:val="22"/>
        </w:rPr>
        <w:tab/>
      </w:r>
      <w:r>
        <w:rPr>
          <w:rFonts w:cs="Times New Roman"/>
          <w:sz w:val="22"/>
        </w:rPr>
        <w:tab/>
      </w:r>
      <w:r>
        <w:rPr>
          <w:rFonts w:cs="Times New Roman"/>
          <w:sz w:val="22"/>
        </w:rPr>
        <w:tab/>
      </w:r>
      <w:r w:rsidRPr="00256A7F">
        <w:rPr>
          <w:rFonts w:cs="Times New Roman"/>
          <w:sz w:val="22"/>
        </w:rPr>
        <w:t>5 105 m³</w:t>
      </w:r>
    </w:p>
    <w:p w:rsidR="00477762" w:rsidRPr="00256A7F" w:rsidRDefault="00477762" w:rsidP="00477762">
      <w:pPr>
        <w:tabs>
          <w:tab w:val="left" w:pos="4536"/>
        </w:tabs>
        <w:spacing w:after="0"/>
        <w:ind w:left="709"/>
      </w:pPr>
      <w:r w:rsidRPr="00256A7F">
        <w:t>Max. výška hráze</w:t>
      </w:r>
      <w:r w:rsidRPr="00256A7F">
        <w:tab/>
      </w:r>
      <w:r w:rsidRPr="00256A7F">
        <w:tab/>
      </w:r>
      <w:r w:rsidRPr="00256A7F">
        <w:tab/>
        <w:t>1,7 m</w:t>
      </w:r>
    </w:p>
    <w:p w:rsidR="00477762" w:rsidRPr="00256A7F" w:rsidRDefault="00477762" w:rsidP="00477762">
      <w:pPr>
        <w:tabs>
          <w:tab w:val="left" w:pos="4536"/>
        </w:tabs>
        <w:spacing w:after="0"/>
        <w:ind w:left="709"/>
      </w:pPr>
      <w:r w:rsidRPr="00256A7F">
        <w:t>Délka hráze</w:t>
      </w:r>
      <w:r w:rsidRPr="00256A7F">
        <w:tab/>
      </w:r>
      <w:r w:rsidRPr="00256A7F">
        <w:tab/>
      </w:r>
      <w:r w:rsidRPr="00256A7F">
        <w:tab/>
        <w:t>160,0 m</w:t>
      </w:r>
    </w:p>
    <w:p w:rsidR="00477762" w:rsidRPr="00256A7F" w:rsidRDefault="00477762" w:rsidP="00477762">
      <w:pPr>
        <w:tabs>
          <w:tab w:val="left" w:pos="4536"/>
        </w:tabs>
        <w:ind w:left="709"/>
      </w:pPr>
      <w:r w:rsidRPr="00256A7F">
        <w:t>Požeráková výpust –</w:t>
      </w:r>
      <w:r>
        <w:t xml:space="preserve"> </w:t>
      </w:r>
      <w:r w:rsidRPr="00256A7F">
        <w:t>profil</w:t>
      </w:r>
      <w:r>
        <w:t xml:space="preserve"> </w:t>
      </w:r>
      <w:r>
        <w:tab/>
      </w:r>
      <w:r>
        <w:tab/>
      </w:r>
      <w:r>
        <w:tab/>
      </w:r>
      <w:r w:rsidRPr="00256A7F">
        <w:t>600 mm (škrtící profil DN 300)</w:t>
      </w:r>
    </w:p>
    <w:p w:rsidR="00477762" w:rsidRDefault="00477762" w:rsidP="00477762">
      <w:pPr>
        <w:ind w:left="709"/>
        <w:rPr>
          <w:rFonts w:cs="Arial"/>
          <w:szCs w:val="22"/>
        </w:rPr>
      </w:pPr>
    </w:p>
    <w:p w:rsidR="00477762" w:rsidRPr="00256A7F" w:rsidRDefault="00477762" w:rsidP="00477762">
      <w:pPr>
        <w:tabs>
          <w:tab w:val="left" w:pos="4536"/>
        </w:tabs>
        <w:ind w:left="709"/>
        <w:rPr>
          <w:u w:val="single"/>
        </w:rPr>
      </w:pPr>
      <w:r w:rsidRPr="00256A7F">
        <w:rPr>
          <w:u w:val="single"/>
        </w:rPr>
        <w:t>SO 04</w:t>
      </w:r>
      <w:r>
        <w:rPr>
          <w:u w:val="single"/>
        </w:rPr>
        <w:t xml:space="preserve"> R</w:t>
      </w:r>
      <w:r w:rsidRPr="00256A7F">
        <w:rPr>
          <w:u w:val="single"/>
        </w:rPr>
        <w:t xml:space="preserve">ybník Štefkův les </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 xml:space="preserve">Rybník je umístěn na levostranném přítoku </w:t>
      </w:r>
      <w:proofErr w:type="spellStart"/>
      <w:r w:rsidRPr="00256A7F">
        <w:rPr>
          <w:rFonts w:cs="Times New Roman"/>
          <w:sz w:val="22"/>
        </w:rPr>
        <w:t>Lipkovského</w:t>
      </w:r>
      <w:proofErr w:type="spellEnd"/>
      <w:r w:rsidRPr="00256A7F">
        <w:rPr>
          <w:rFonts w:cs="Times New Roman"/>
          <w:sz w:val="22"/>
        </w:rPr>
        <w:t xml:space="preserve"> potoka cca ř. km 0,320.</w:t>
      </w:r>
    </w:p>
    <w:p w:rsidR="00477762" w:rsidRDefault="00477762" w:rsidP="00477762">
      <w:pPr>
        <w:ind w:left="709"/>
        <w:rPr>
          <w:rFonts w:cs="Arial"/>
          <w:szCs w:val="22"/>
        </w:rPr>
      </w:pP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Kóta koruny hráze:</w:t>
      </w:r>
      <w:r w:rsidRPr="00256A7F">
        <w:rPr>
          <w:rFonts w:cs="Times New Roman"/>
          <w:sz w:val="22"/>
        </w:rPr>
        <w:tab/>
      </w:r>
      <w:r w:rsidRPr="00256A7F">
        <w:rPr>
          <w:rFonts w:cs="Times New Roman"/>
          <w:sz w:val="22"/>
        </w:rPr>
        <w:tab/>
      </w:r>
      <w:r w:rsidRPr="00256A7F">
        <w:rPr>
          <w:rFonts w:cs="Times New Roman"/>
          <w:sz w:val="22"/>
        </w:rPr>
        <w:tab/>
        <w:t>541,50 m n. 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Kóta koruny bezpečnostního přelivu:</w:t>
      </w:r>
      <w:r w:rsidRPr="00256A7F">
        <w:rPr>
          <w:rFonts w:cs="Times New Roman"/>
          <w:sz w:val="22"/>
        </w:rPr>
        <w:tab/>
      </w:r>
      <w:r w:rsidRPr="00256A7F">
        <w:rPr>
          <w:rFonts w:cs="Times New Roman"/>
          <w:sz w:val="22"/>
        </w:rPr>
        <w:tab/>
      </w:r>
      <w:r w:rsidRPr="00256A7F">
        <w:rPr>
          <w:rFonts w:cs="Times New Roman"/>
          <w:sz w:val="22"/>
        </w:rPr>
        <w:tab/>
        <w:t>541,00 m n. 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Kóta hladiny stálého nadržení</w:t>
      </w:r>
      <w:r w:rsidRPr="00256A7F">
        <w:rPr>
          <w:rFonts w:cs="Times New Roman"/>
          <w:sz w:val="22"/>
        </w:rPr>
        <w:tab/>
      </w:r>
      <w:r w:rsidRPr="00256A7F">
        <w:rPr>
          <w:rFonts w:cs="Times New Roman"/>
          <w:sz w:val="22"/>
        </w:rPr>
        <w:tab/>
      </w:r>
      <w:r w:rsidRPr="00256A7F">
        <w:rPr>
          <w:rFonts w:cs="Times New Roman"/>
          <w:sz w:val="22"/>
        </w:rPr>
        <w:tab/>
        <w:t>540,95 m n.m.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 xml:space="preserve">Kóta maximální hladiny rybníka </w:t>
      </w:r>
      <w:r w:rsidRPr="00256A7F">
        <w:rPr>
          <w:rFonts w:cs="Times New Roman"/>
          <w:sz w:val="22"/>
        </w:rPr>
        <w:tab/>
      </w:r>
      <w:r w:rsidRPr="00256A7F">
        <w:rPr>
          <w:rFonts w:cs="Times New Roman"/>
          <w:sz w:val="22"/>
        </w:rPr>
        <w:tab/>
      </w:r>
      <w:r w:rsidRPr="00256A7F">
        <w:rPr>
          <w:rFonts w:cs="Times New Roman"/>
          <w:sz w:val="22"/>
        </w:rPr>
        <w:tab/>
        <w:t>541,25 m n.m.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Plocha hladiny stálého nadržení</w:t>
      </w:r>
      <w:r w:rsidRPr="00256A7F">
        <w:rPr>
          <w:rFonts w:cs="Times New Roman"/>
          <w:sz w:val="22"/>
        </w:rPr>
        <w:tab/>
      </w:r>
      <w:r w:rsidRPr="00256A7F">
        <w:rPr>
          <w:rFonts w:cs="Times New Roman"/>
          <w:sz w:val="22"/>
        </w:rPr>
        <w:tab/>
      </w:r>
      <w:r w:rsidRPr="00256A7F">
        <w:rPr>
          <w:rFonts w:cs="Times New Roman"/>
          <w:sz w:val="22"/>
        </w:rPr>
        <w:tab/>
        <w:t>622 m²</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Maximální plocha hladiny</w:t>
      </w:r>
      <w:r w:rsidRPr="00256A7F">
        <w:rPr>
          <w:rFonts w:cs="Times New Roman"/>
          <w:sz w:val="22"/>
        </w:rPr>
        <w:tab/>
      </w:r>
      <w:r w:rsidRPr="00256A7F">
        <w:rPr>
          <w:rFonts w:cs="Times New Roman"/>
          <w:sz w:val="22"/>
        </w:rPr>
        <w:tab/>
      </w:r>
      <w:r w:rsidRPr="00256A7F">
        <w:rPr>
          <w:rFonts w:cs="Times New Roman"/>
          <w:sz w:val="22"/>
        </w:rPr>
        <w:tab/>
        <w:t>771 m²</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Objem vody při normální hladině cca</w:t>
      </w:r>
      <w:r w:rsidRPr="00256A7F">
        <w:rPr>
          <w:rFonts w:cs="Times New Roman"/>
          <w:sz w:val="22"/>
        </w:rPr>
        <w:tab/>
      </w:r>
      <w:r w:rsidRPr="00256A7F">
        <w:rPr>
          <w:rFonts w:cs="Times New Roman"/>
          <w:sz w:val="22"/>
        </w:rPr>
        <w:tab/>
      </w:r>
      <w:r w:rsidRPr="00256A7F">
        <w:rPr>
          <w:rFonts w:cs="Times New Roman"/>
          <w:sz w:val="22"/>
        </w:rPr>
        <w:tab/>
        <w:t>377 m³</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Objem vody při maximální hladině cca</w:t>
      </w:r>
      <w:r w:rsidRPr="00256A7F">
        <w:rPr>
          <w:rFonts w:cs="Times New Roman"/>
          <w:sz w:val="22"/>
        </w:rPr>
        <w:tab/>
      </w:r>
      <w:r w:rsidRPr="00256A7F">
        <w:rPr>
          <w:rFonts w:cs="Times New Roman"/>
          <w:sz w:val="22"/>
        </w:rPr>
        <w:tab/>
      </w:r>
      <w:r w:rsidRPr="00256A7F">
        <w:rPr>
          <w:rFonts w:cs="Times New Roman"/>
          <w:sz w:val="22"/>
        </w:rPr>
        <w:tab/>
        <w:t>586 m³</w:t>
      </w:r>
    </w:p>
    <w:p w:rsidR="00477762" w:rsidRPr="00256A7F" w:rsidRDefault="00477762" w:rsidP="00477762">
      <w:pPr>
        <w:pStyle w:val="AgNormal"/>
        <w:tabs>
          <w:tab w:val="left" w:pos="4536"/>
        </w:tabs>
        <w:spacing w:after="0"/>
        <w:ind w:left="709" w:firstLine="0"/>
        <w:rPr>
          <w:rFonts w:cs="Times New Roman"/>
          <w:sz w:val="22"/>
        </w:rPr>
      </w:pPr>
      <w:proofErr w:type="spellStart"/>
      <w:r w:rsidRPr="00256A7F">
        <w:rPr>
          <w:rFonts w:cs="Times New Roman"/>
          <w:sz w:val="22"/>
        </w:rPr>
        <w:t>Max.výška</w:t>
      </w:r>
      <w:proofErr w:type="spellEnd"/>
      <w:r w:rsidRPr="00256A7F">
        <w:rPr>
          <w:rFonts w:cs="Times New Roman"/>
          <w:sz w:val="22"/>
        </w:rPr>
        <w:t xml:space="preserve"> hráze</w:t>
      </w:r>
      <w:r w:rsidRPr="00256A7F">
        <w:rPr>
          <w:rFonts w:cs="Times New Roman"/>
          <w:sz w:val="22"/>
        </w:rPr>
        <w:tab/>
      </w:r>
      <w:r w:rsidRPr="00256A7F">
        <w:rPr>
          <w:rFonts w:cs="Times New Roman"/>
          <w:sz w:val="22"/>
        </w:rPr>
        <w:tab/>
      </w:r>
      <w:r w:rsidRPr="00256A7F">
        <w:rPr>
          <w:rFonts w:cs="Times New Roman"/>
          <w:sz w:val="22"/>
        </w:rPr>
        <w:tab/>
        <w:t>1,0 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Délka hráze</w:t>
      </w:r>
      <w:r w:rsidRPr="00256A7F">
        <w:rPr>
          <w:rFonts w:cs="Times New Roman"/>
          <w:sz w:val="22"/>
        </w:rPr>
        <w:tab/>
      </w:r>
      <w:r w:rsidRPr="00256A7F">
        <w:rPr>
          <w:rFonts w:cs="Times New Roman"/>
          <w:sz w:val="22"/>
        </w:rPr>
        <w:tab/>
      </w:r>
      <w:r w:rsidRPr="00256A7F">
        <w:rPr>
          <w:rFonts w:cs="Times New Roman"/>
          <w:sz w:val="22"/>
        </w:rPr>
        <w:tab/>
        <w:t>45,0 m</w:t>
      </w:r>
    </w:p>
    <w:p w:rsidR="00477762" w:rsidRPr="00256A7F" w:rsidRDefault="00477762" w:rsidP="00477762">
      <w:pPr>
        <w:pStyle w:val="AgNormal"/>
        <w:tabs>
          <w:tab w:val="left" w:pos="4536"/>
        </w:tabs>
        <w:spacing w:after="0"/>
        <w:ind w:left="709" w:firstLine="0"/>
        <w:rPr>
          <w:rFonts w:cs="Times New Roman"/>
          <w:sz w:val="22"/>
        </w:rPr>
      </w:pPr>
      <w:r w:rsidRPr="00256A7F">
        <w:rPr>
          <w:rFonts w:cs="Times New Roman"/>
          <w:sz w:val="22"/>
        </w:rPr>
        <w:t>Požeráková výpust – profil</w:t>
      </w:r>
      <w:r w:rsidRPr="00256A7F">
        <w:rPr>
          <w:rFonts w:cs="Times New Roman"/>
          <w:sz w:val="22"/>
        </w:rPr>
        <w:tab/>
      </w:r>
      <w:r w:rsidRPr="00256A7F">
        <w:rPr>
          <w:rFonts w:cs="Times New Roman"/>
          <w:sz w:val="22"/>
        </w:rPr>
        <w:tab/>
      </w:r>
      <w:r w:rsidRPr="00256A7F">
        <w:rPr>
          <w:rFonts w:cs="Times New Roman"/>
          <w:sz w:val="22"/>
        </w:rPr>
        <w:tab/>
        <w:t>300 mm (škrtící profil DN 200)</w:t>
      </w:r>
    </w:p>
    <w:p w:rsidR="00477762" w:rsidRDefault="00477762" w:rsidP="00477762">
      <w:pPr>
        <w:ind w:left="709"/>
        <w:rPr>
          <w:rFonts w:cs="Arial"/>
          <w:szCs w:val="22"/>
        </w:rPr>
      </w:pPr>
    </w:p>
    <w:p w:rsidR="00477762" w:rsidRPr="00A73D6D" w:rsidRDefault="00477762" w:rsidP="00477762">
      <w:pPr>
        <w:tabs>
          <w:tab w:val="left" w:pos="4536"/>
        </w:tabs>
        <w:ind w:left="709"/>
        <w:rPr>
          <w:u w:val="single"/>
        </w:rPr>
      </w:pPr>
      <w:r w:rsidRPr="00A73D6D">
        <w:rPr>
          <w:u w:val="single"/>
        </w:rPr>
        <w:t xml:space="preserve">SO 06 Výsadba části biokoridoru RBK 820 </w:t>
      </w:r>
    </w:p>
    <w:p w:rsidR="00477762" w:rsidRPr="00A73D6D" w:rsidRDefault="00477762" w:rsidP="00477762">
      <w:pPr>
        <w:spacing w:after="0"/>
        <w:ind w:left="709"/>
        <w:jc w:val="both"/>
      </w:pPr>
      <w:r w:rsidRPr="00A73D6D">
        <w:t xml:space="preserve">Nově navržená část regionálního biokoridoru se nachází podél cesty C1 mezi silnicí III/31223 a </w:t>
      </w:r>
      <w:proofErr w:type="spellStart"/>
      <w:r w:rsidRPr="00A73D6D">
        <w:t>Lipkovským</w:t>
      </w:r>
      <w:proofErr w:type="spellEnd"/>
      <w:r w:rsidRPr="00A73D6D">
        <w:t xml:space="preserve"> potokem. </w:t>
      </w:r>
    </w:p>
    <w:p w:rsidR="00477762" w:rsidRPr="00A73D6D" w:rsidRDefault="00477762" w:rsidP="00477762">
      <w:pPr>
        <w:spacing w:after="0"/>
        <w:ind w:left="709"/>
      </w:pPr>
      <w:r w:rsidRPr="00A73D6D">
        <w:t xml:space="preserve">Plochy byly vyčleněny v rámci </w:t>
      </w:r>
      <w:proofErr w:type="spellStart"/>
      <w:r w:rsidRPr="00A73D6D">
        <w:t>KoPÚ</w:t>
      </w:r>
      <w:proofErr w:type="spellEnd"/>
      <w:r w:rsidRPr="00A73D6D">
        <w:t>, parcely č. 1212 a 1213.</w:t>
      </w:r>
      <w:r>
        <w:t xml:space="preserve"> </w:t>
      </w:r>
      <w:r w:rsidRPr="00A73D6D">
        <w:t>Celková plocha biokoridoru je přibližně 3,08 ha, řešená část 1,2 ha.</w:t>
      </w:r>
    </w:p>
    <w:p w:rsidR="00477762" w:rsidRPr="00A73D6D" w:rsidRDefault="00477762" w:rsidP="00477762">
      <w:pPr>
        <w:autoSpaceDE w:val="0"/>
        <w:autoSpaceDN w:val="0"/>
        <w:adjustRightInd w:val="0"/>
        <w:spacing w:after="0"/>
        <w:ind w:left="709"/>
        <w:jc w:val="both"/>
      </w:pPr>
      <w:r w:rsidRPr="00A73D6D">
        <w:t xml:space="preserve">Výsadba se navrhuje solitérní se samostatnými vzrostlými stromy dubu zimního i letního olše lepkavé a břízy bělokoré výsadba solitérů bude doplněna skupinami (shluky) větších druhů keřů. Na zbytku parcely bude zachováno stávající zatravnění. </w:t>
      </w:r>
    </w:p>
    <w:p w:rsidR="00477762" w:rsidRDefault="00477762" w:rsidP="00477762">
      <w:pPr>
        <w:ind w:left="709"/>
        <w:jc w:val="both"/>
        <w:rPr>
          <w:rFonts w:cs="Arial"/>
          <w:szCs w:val="22"/>
        </w:rPr>
      </w:pPr>
    </w:p>
    <w:p w:rsidR="00477762" w:rsidRDefault="00477762" w:rsidP="00477762">
      <w:pPr>
        <w:ind w:left="709"/>
        <w:jc w:val="both"/>
        <w:rPr>
          <w:rFonts w:cs="Arial"/>
          <w:szCs w:val="22"/>
        </w:rPr>
      </w:pPr>
      <w:r>
        <w:rPr>
          <w:rFonts w:cs="Arial"/>
          <w:szCs w:val="22"/>
        </w:rPr>
        <w:t xml:space="preserve">Součástí stavby je i přeložka sítě elektronických komunikací (SEK) u cesty C1, která bude realizována vlastníkem sítě v termínu po dohodě se zhotovitelem (předpokládá se spíše rok 2021) </w:t>
      </w:r>
    </w:p>
    <w:p w:rsidR="00337DC4" w:rsidRPr="00584922" w:rsidRDefault="00337DC4" w:rsidP="00337DC4">
      <w:pPr>
        <w:spacing w:before="60" w:line="280" w:lineRule="atLeast"/>
        <w:jc w:val="both"/>
        <w:rPr>
          <w:rFonts w:cs="Arial"/>
          <w:szCs w:val="22"/>
        </w:rPr>
      </w:pPr>
      <w:r w:rsidRPr="00584922">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rsidR="00337DC4" w:rsidRPr="00584922" w:rsidRDefault="00337DC4" w:rsidP="00337DC4">
      <w:pPr>
        <w:pStyle w:val="TSTextlnkuslovan"/>
        <w:spacing w:after="0" w:line="240" w:lineRule="auto"/>
        <w:ind w:left="737"/>
        <w:jc w:val="both"/>
        <w:rPr>
          <w:rFonts w:cs="Arial"/>
          <w:szCs w:val="22"/>
        </w:rPr>
      </w:pPr>
    </w:p>
    <w:p w:rsidR="00E953AF" w:rsidRPr="0081332C"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rsidR="00006EE7" w:rsidRPr="00584922" w:rsidRDefault="00006EE7" w:rsidP="0081332C">
      <w:pPr>
        <w:pStyle w:val="TSTextlnkuslovan"/>
        <w:tabs>
          <w:tab w:val="num" w:pos="709"/>
        </w:tabs>
        <w:spacing w:after="0" w:line="240" w:lineRule="auto"/>
        <w:ind w:left="709"/>
        <w:jc w:val="both"/>
        <w:rPr>
          <w:rFonts w:cs="Arial"/>
          <w:szCs w:val="22"/>
        </w:rPr>
      </w:pPr>
    </w:p>
    <w:p w:rsidR="00A015C9" w:rsidRPr="00584922" w:rsidRDefault="00A015C9" w:rsidP="00CC26D5">
      <w:pPr>
        <w:pStyle w:val="TSTextlnkuslovan"/>
        <w:numPr>
          <w:ilvl w:val="1"/>
          <w:numId w:val="3"/>
        </w:numPr>
        <w:tabs>
          <w:tab w:val="clear" w:pos="1588"/>
          <w:tab w:val="num" w:pos="709"/>
        </w:tabs>
        <w:spacing w:after="0" w:line="240" w:lineRule="auto"/>
        <w:ind w:left="709" w:hanging="709"/>
        <w:jc w:val="both"/>
        <w:rPr>
          <w:rFonts w:cs="Arial"/>
          <w:bCs/>
          <w:szCs w:val="22"/>
        </w:rPr>
      </w:pPr>
      <w:bookmarkStart w:id="6"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6"/>
      <w:r w:rsidRPr="00584922">
        <w:rPr>
          <w:rFonts w:cs="Arial"/>
          <w:bCs/>
          <w:szCs w:val="22"/>
        </w:rPr>
        <w:t xml:space="preserve"> </w:t>
      </w:r>
    </w:p>
    <w:p w:rsidR="008F712D" w:rsidRPr="00584922" w:rsidRDefault="008F712D" w:rsidP="0081332C">
      <w:pPr>
        <w:pStyle w:val="TSTextlnkuslovan"/>
        <w:spacing w:after="0" w:line="240" w:lineRule="auto"/>
        <w:jc w:val="both"/>
        <w:rPr>
          <w:rFonts w:cs="Arial"/>
          <w:bCs/>
          <w:szCs w:val="22"/>
          <w:lang w:val="cs-CZ"/>
        </w:rPr>
      </w:pPr>
    </w:p>
    <w:p w:rsidR="00F5316D" w:rsidRPr="00584922" w:rsidRDefault="00F5316D" w:rsidP="004B0FAE">
      <w:pPr>
        <w:pStyle w:val="TSTextlnkuslovan"/>
        <w:spacing w:after="0" w:line="240" w:lineRule="auto"/>
        <w:ind w:left="737"/>
        <w:jc w:val="both"/>
        <w:rPr>
          <w:rFonts w:cs="Arial"/>
          <w:bCs/>
          <w:szCs w:val="22"/>
          <w:lang w:val="cs-CZ"/>
        </w:rPr>
      </w:pPr>
    </w:p>
    <w:p w:rsidR="00004BA9" w:rsidRPr="0081332C" w:rsidRDefault="00006EE7" w:rsidP="008F712D">
      <w:pPr>
        <w:spacing w:after="0" w:line="240" w:lineRule="auto"/>
        <w:jc w:val="center"/>
        <w:rPr>
          <w:rFonts w:ascii="Times New Roman" w:hAnsi="Times New Roman"/>
          <w:b/>
          <w:vanish/>
          <w:szCs w:val="22"/>
        </w:rPr>
      </w:pPr>
      <w:bookmarkStart w:id="7" w:name="_Ref376453636"/>
      <w:r w:rsidRPr="0081332C">
        <w:rPr>
          <w:rFonts w:ascii="Times New Roman" w:hAnsi="Times New Roman"/>
          <w:b/>
          <w:szCs w:val="22"/>
        </w:rPr>
        <w:t>Čl. II</w:t>
      </w:r>
    </w:p>
    <w:p w:rsidR="00FC11FA" w:rsidRPr="00584922" w:rsidRDefault="00004BA9" w:rsidP="00CC26D5">
      <w:pPr>
        <w:pStyle w:val="Odstavecseseznamem"/>
        <w:numPr>
          <w:ilvl w:val="0"/>
          <w:numId w:val="3"/>
        </w:numPr>
        <w:spacing w:after="0" w:line="240" w:lineRule="auto"/>
        <w:ind w:left="709"/>
        <w:contextualSpacing w:val="0"/>
        <w:jc w:val="center"/>
        <w:rPr>
          <w:rFonts w:cs="Arial"/>
          <w:bCs/>
          <w:szCs w:val="22"/>
        </w:rPr>
      </w:pPr>
      <w:r w:rsidRPr="00584922">
        <w:rPr>
          <w:rFonts w:cs="Arial"/>
          <w:szCs w:val="22"/>
        </w:rPr>
        <w:br/>
      </w:r>
      <w:bookmarkStart w:id="8" w:name="_Ref376500168"/>
      <w:bookmarkStart w:id="9" w:name="_Ref376517531"/>
      <w:bookmarkEnd w:id="7"/>
      <w:r w:rsidR="00490719" w:rsidRPr="00584922">
        <w:rPr>
          <w:rFonts w:cs="Arial"/>
          <w:b/>
          <w:bCs/>
          <w:szCs w:val="22"/>
          <w:u w:val="single"/>
        </w:rPr>
        <w:t>Rozsah a obsah předmětu plnění</w:t>
      </w:r>
      <w:bookmarkEnd w:id="9"/>
    </w:p>
    <w:p w:rsidR="004B0FAE" w:rsidRPr="00584922" w:rsidRDefault="004B0FAE" w:rsidP="004B0FAE">
      <w:pPr>
        <w:pStyle w:val="Odstavecseseznamem"/>
        <w:spacing w:after="0" w:line="240" w:lineRule="auto"/>
        <w:contextualSpacing w:val="0"/>
        <w:jc w:val="center"/>
        <w:rPr>
          <w:rFonts w:cs="Arial"/>
          <w:bCs/>
          <w:szCs w:val="22"/>
        </w:rPr>
      </w:pPr>
    </w:p>
    <w:p w:rsidR="00004BA9" w:rsidRPr="00584922" w:rsidRDefault="00490719"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8"/>
    </w:p>
    <w:p w:rsidR="00E953AF" w:rsidRPr="00584922" w:rsidRDefault="00A122B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lastRenderedPageBreak/>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hlásit a</w:t>
      </w:r>
      <w:r w:rsidR="00DA0669" w:rsidRPr="00584922">
        <w:rPr>
          <w:rFonts w:cs="Arial"/>
          <w:szCs w:val="22"/>
        </w:rPr>
        <w:t>rcheologické nálezy</w:t>
      </w:r>
      <w:r w:rsidR="00E00394" w:rsidRPr="00584922">
        <w:rPr>
          <w:rFonts w:cs="Arial"/>
          <w:szCs w:val="22"/>
        </w:rPr>
        <w:t>;</w:t>
      </w:r>
    </w:p>
    <w:p w:rsidR="00006EE7"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rsidR="00912085" w:rsidRPr="00584922" w:rsidRDefault="0032790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rsidR="00C81135" w:rsidRPr="00584922" w:rsidRDefault="00C81135"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rsidR="00E953AF" w:rsidRPr="00584922" w:rsidRDefault="00912085"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rsidR="00327908" w:rsidRPr="00584922" w:rsidRDefault="0032790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rsidR="009A4674" w:rsidRPr="00584922" w:rsidRDefault="00E01617"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rsidR="00E01617" w:rsidRPr="00584922" w:rsidRDefault="009A4674"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rsidR="009A4674" w:rsidRPr="00584922" w:rsidRDefault="009A4674"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rsidR="000459D8" w:rsidRPr="00584922" w:rsidRDefault="000459D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rsidR="00E809D9" w:rsidRPr="00584922" w:rsidRDefault="00E809D9" w:rsidP="004B0FAE">
      <w:pPr>
        <w:spacing w:after="0" w:line="240" w:lineRule="auto"/>
        <w:ind w:left="1843"/>
        <w:jc w:val="both"/>
        <w:rPr>
          <w:rFonts w:cs="Arial"/>
          <w:szCs w:val="22"/>
        </w:rPr>
      </w:pPr>
    </w:p>
    <w:p w:rsidR="00140E04" w:rsidRPr="00584922" w:rsidRDefault="000459D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477762">
        <w:rPr>
          <w:rFonts w:cs="Arial"/>
          <w:szCs w:val="22"/>
          <w:lang w:val="cs-CZ"/>
        </w:rPr>
        <w:t>9.9.2020 – 16.8.2021</w:t>
      </w:r>
      <w:r w:rsidR="00140E04" w:rsidRPr="00584922">
        <w:rPr>
          <w:rFonts w:cs="Arial"/>
          <w:szCs w:val="22"/>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rsidR="00982EA7" w:rsidRPr="00584922" w:rsidRDefault="00982EA7" w:rsidP="004B0FAE">
      <w:pPr>
        <w:spacing w:after="0" w:line="240" w:lineRule="auto"/>
        <w:ind w:left="1843"/>
        <w:rPr>
          <w:rFonts w:cs="Arial"/>
          <w:szCs w:val="22"/>
        </w:rPr>
      </w:pPr>
    </w:p>
    <w:p w:rsidR="00053E0D" w:rsidRPr="00584922" w:rsidRDefault="00053E0D" w:rsidP="004B0FAE">
      <w:pPr>
        <w:spacing w:after="0" w:line="240" w:lineRule="auto"/>
        <w:ind w:left="1843"/>
        <w:rPr>
          <w:rFonts w:cs="Arial"/>
          <w:szCs w:val="22"/>
        </w:rPr>
      </w:pPr>
    </w:p>
    <w:p w:rsidR="00004BA9" w:rsidRPr="00584922" w:rsidRDefault="00004BA9" w:rsidP="00CC26D5">
      <w:pPr>
        <w:pStyle w:val="Odstavecseseznamem"/>
        <w:numPr>
          <w:ilvl w:val="0"/>
          <w:numId w:val="3"/>
        </w:numPr>
        <w:spacing w:after="0" w:line="240" w:lineRule="auto"/>
        <w:ind w:left="709"/>
        <w:contextualSpacing w:val="0"/>
        <w:jc w:val="center"/>
        <w:rPr>
          <w:rFonts w:cs="Arial"/>
          <w:szCs w:val="22"/>
          <w:u w:val="single"/>
        </w:rPr>
      </w:pPr>
      <w:r w:rsidRPr="00584922">
        <w:rPr>
          <w:rFonts w:cs="Arial"/>
          <w:szCs w:val="22"/>
        </w:rPr>
        <w:lastRenderedPageBreak/>
        <w:br/>
      </w:r>
      <w:r w:rsidR="00300D42" w:rsidRPr="00584922">
        <w:rPr>
          <w:rFonts w:cs="Arial"/>
          <w:b/>
          <w:szCs w:val="22"/>
          <w:u w:val="single"/>
        </w:rPr>
        <w:t>Způsob plnění</w:t>
      </w:r>
    </w:p>
    <w:p w:rsidR="004B0FAE" w:rsidRPr="00584922" w:rsidRDefault="004B0FAE" w:rsidP="004B0FAE">
      <w:pPr>
        <w:pStyle w:val="Odstavecseseznamem"/>
        <w:spacing w:after="0" w:line="240" w:lineRule="auto"/>
        <w:contextualSpacing w:val="0"/>
        <w:jc w:val="center"/>
        <w:rPr>
          <w:rFonts w:cs="Arial"/>
          <w:szCs w:val="22"/>
          <w:u w:val="single"/>
        </w:rPr>
      </w:pPr>
    </w:p>
    <w:p w:rsidR="001C21DD" w:rsidRDefault="001C21DD"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rsidR="00006EE7" w:rsidRPr="00584922" w:rsidRDefault="00006EE7" w:rsidP="0081332C">
      <w:pPr>
        <w:pStyle w:val="TSTextlnkuslovan"/>
        <w:tabs>
          <w:tab w:val="num" w:pos="709"/>
        </w:tabs>
        <w:spacing w:after="0" w:line="240" w:lineRule="auto"/>
        <w:ind w:left="709"/>
        <w:jc w:val="both"/>
        <w:rPr>
          <w:rFonts w:cs="Arial"/>
          <w:szCs w:val="22"/>
        </w:rPr>
      </w:pPr>
    </w:p>
    <w:p w:rsidR="00D7072D" w:rsidRDefault="00D7072D" w:rsidP="00CC26D5">
      <w:pPr>
        <w:pStyle w:val="TSTextlnkuslovan"/>
        <w:numPr>
          <w:ilvl w:val="1"/>
          <w:numId w:val="3"/>
        </w:numPr>
        <w:tabs>
          <w:tab w:val="clear" w:pos="1588"/>
        </w:tabs>
        <w:spacing w:after="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rsidR="00006EE7" w:rsidRPr="00584922" w:rsidRDefault="00006EE7" w:rsidP="0081332C">
      <w:pPr>
        <w:pStyle w:val="TSTextlnkuslovan"/>
        <w:spacing w:after="0" w:line="240" w:lineRule="auto"/>
        <w:jc w:val="both"/>
        <w:rPr>
          <w:rFonts w:cs="Arial"/>
          <w:bCs/>
          <w:szCs w:val="22"/>
        </w:rPr>
      </w:pPr>
    </w:p>
    <w:p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rsidR="00006EE7" w:rsidRPr="00584922" w:rsidRDefault="00006EE7" w:rsidP="0081332C">
      <w:pPr>
        <w:pStyle w:val="TSTextlnkuslovan"/>
        <w:tabs>
          <w:tab w:val="num" w:pos="709"/>
        </w:tabs>
        <w:spacing w:after="0" w:line="240" w:lineRule="auto"/>
        <w:jc w:val="both"/>
        <w:rPr>
          <w:rFonts w:cs="Arial"/>
          <w:szCs w:val="22"/>
        </w:rPr>
      </w:pPr>
    </w:p>
    <w:p w:rsidR="00E953AF" w:rsidRDefault="00EB17E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rsidR="00006EE7" w:rsidRPr="00584922" w:rsidRDefault="00006EE7" w:rsidP="0081332C">
      <w:pPr>
        <w:pStyle w:val="TSTextlnkuslovan"/>
        <w:tabs>
          <w:tab w:val="num" w:pos="709"/>
        </w:tabs>
        <w:spacing w:after="0" w:line="240" w:lineRule="auto"/>
        <w:jc w:val="both"/>
        <w:rPr>
          <w:rFonts w:cs="Arial"/>
          <w:szCs w:val="22"/>
        </w:rPr>
      </w:pPr>
    </w:p>
    <w:p w:rsidR="00E953AF" w:rsidRPr="00006EE7"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rsidR="00006EE7" w:rsidRPr="00584922" w:rsidRDefault="00006EE7" w:rsidP="0081332C">
      <w:pPr>
        <w:pStyle w:val="TSTextlnkuslovan"/>
        <w:spacing w:after="0" w:line="240" w:lineRule="auto"/>
        <w:jc w:val="both"/>
        <w:rPr>
          <w:rFonts w:cs="Arial"/>
          <w:szCs w:val="22"/>
        </w:rPr>
      </w:pPr>
    </w:p>
    <w:p w:rsidR="00F5316D" w:rsidRPr="0081332C"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rsidR="00053E0D" w:rsidRPr="00584922" w:rsidRDefault="00053E0D" w:rsidP="004B0FAE">
      <w:pPr>
        <w:pStyle w:val="TSTextlnkuslovan"/>
        <w:spacing w:after="0" w:line="240" w:lineRule="auto"/>
        <w:ind w:left="737"/>
        <w:jc w:val="both"/>
        <w:rPr>
          <w:rFonts w:cs="Arial"/>
          <w:szCs w:val="22"/>
          <w:lang w:val="cs-CZ"/>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rsidR="004B0FAE" w:rsidRPr="00584922" w:rsidRDefault="004B0FAE" w:rsidP="004B0FAE">
      <w:pPr>
        <w:pStyle w:val="Odstavecseseznamem"/>
        <w:spacing w:after="0" w:line="240" w:lineRule="auto"/>
        <w:contextualSpacing w:val="0"/>
        <w:jc w:val="center"/>
        <w:rPr>
          <w:rFonts w:cs="Arial"/>
          <w:szCs w:val="22"/>
        </w:rPr>
      </w:pPr>
    </w:p>
    <w:p w:rsidR="00E65158" w:rsidRPr="00584922" w:rsidRDefault="0057161A"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rsidR="00F003DF" w:rsidRPr="00584922" w:rsidRDefault="00F003DF" w:rsidP="004B0FAE">
      <w:pPr>
        <w:pStyle w:val="TSTextlnkuslovan"/>
        <w:spacing w:after="0" w:line="240" w:lineRule="auto"/>
        <w:ind w:left="737"/>
        <w:jc w:val="both"/>
        <w:rPr>
          <w:rFonts w:cs="Arial"/>
          <w:szCs w:val="22"/>
          <w:lang w:val="cs-CZ"/>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rsidR="002F4B53" w:rsidRPr="00584922" w:rsidRDefault="002F4B53" w:rsidP="002F4B53">
      <w:pPr>
        <w:pStyle w:val="Odstavecseseznamem"/>
        <w:spacing w:after="0" w:line="240" w:lineRule="auto"/>
        <w:contextualSpacing w:val="0"/>
        <w:jc w:val="center"/>
        <w:rPr>
          <w:rFonts w:cs="Arial"/>
          <w:szCs w:val="22"/>
        </w:rPr>
      </w:pPr>
    </w:p>
    <w:p w:rsidR="00A6422B" w:rsidRPr="00584922" w:rsidRDefault="006E4E3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rsidR="00D73D3D" w:rsidRPr="00584922" w:rsidRDefault="00853C3D" w:rsidP="00CC26D5">
      <w:pPr>
        <w:pStyle w:val="TSTextlnkuslovan"/>
        <w:numPr>
          <w:ilvl w:val="0"/>
          <w:numId w:val="4"/>
        </w:numPr>
        <w:spacing w:after="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10" w:name="_Ref376501855"/>
    </w:p>
    <w:p w:rsidR="00006EE7" w:rsidRPr="00BD2805" w:rsidRDefault="00D73D3D" w:rsidP="00CC26D5">
      <w:pPr>
        <w:numPr>
          <w:ilvl w:val="0"/>
          <w:numId w:val="4"/>
        </w:numPr>
        <w:spacing w:after="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rsidR="002F4B53" w:rsidRPr="00006EE7" w:rsidRDefault="00E7685D"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11" w:name="_Ref376503882"/>
      <w:bookmarkEnd w:id="10"/>
    </w:p>
    <w:p w:rsidR="00006EE7" w:rsidRPr="00584922" w:rsidRDefault="00006EE7" w:rsidP="0081332C">
      <w:pPr>
        <w:pStyle w:val="TSTextlnkuslovan"/>
        <w:spacing w:after="0" w:line="240" w:lineRule="auto"/>
        <w:ind w:left="1588"/>
        <w:jc w:val="both"/>
        <w:rPr>
          <w:rFonts w:cs="Arial"/>
          <w:bCs/>
          <w:szCs w:val="22"/>
        </w:rPr>
      </w:pPr>
    </w:p>
    <w:p w:rsidR="00E56735" w:rsidRDefault="00DF097D"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lastRenderedPageBreak/>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11"/>
    </w:p>
    <w:p w:rsidR="00006EE7" w:rsidRPr="00584922" w:rsidRDefault="00006EE7" w:rsidP="0081332C">
      <w:pPr>
        <w:pStyle w:val="TSTextlnkuslovan"/>
        <w:spacing w:after="0" w:line="240" w:lineRule="auto"/>
        <w:ind w:left="1588"/>
        <w:jc w:val="both"/>
        <w:rPr>
          <w:rFonts w:cs="Arial"/>
          <w:bCs/>
          <w:szCs w:val="22"/>
        </w:rPr>
      </w:pPr>
    </w:p>
    <w:p w:rsidR="00006EE7" w:rsidRPr="0081332C"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rsidR="00006EE7" w:rsidRPr="00584922" w:rsidRDefault="00006EE7" w:rsidP="0081332C">
      <w:pPr>
        <w:pStyle w:val="TSTextlnkuslovan"/>
        <w:spacing w:after="0" w:line="240" w:lineRule="auto"/>
        <w:ind w:left="1588"/>
        <w:jc w:val="both"/>
        <w:rPr>
          <w:rFonts w:cs="Arial"/>
          <w:szCs w:val="22"/>
        </w:rPr>
      </w:pPr>
    </w:p>
    <w:p w:rsidR="00C16D8B" w:rsidRDefault="00C16D8B"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rsidR="00006EE7" w:rsidRPr="00584922" w:rsidRDefault="00006EE7" w:rsidP="0081332C">
      <w:pPr>
        <w:pStyle w:val="TSTextlnkuslovan"/>
        <w:spacing w:after="0" w:line="240" w:lineRule="auto"/>
        <w:ind w:left="1588"/>
        <w:jc w:val="both"/>
        <w:rPr>
          <w:rFonts w:cs="Arial"/>
          <w:bCs/>
          <w:szCs w:val="22"/>
        </w:rPr>
      </w:pPr>
    </w:p>
    <w:p w:rsidR="00345E6E" w:rsidRPr="00584922" w:rsidRDefault="007E394E"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rsidR="008F712D" w:rsidRPr="00584922" w:rsidRDefault="008F712D" w:rsidP="004B0FAE">
      <w:pPr>
        <w:pStyle w:val="TSTextlnkuslovan"/>
        <w:spacing w:after="0" w:line="240" w:lineRule="auto"/>
        <w:ind w:left="792"/>
        <w:jc w:val="both"/>
        <w:rPr>
          <w:rFonts w:cs="Arial"/>
          <w:szCs w:val="22"/>
          <w:lang w:val="cs-CZ"/>
        </w:rPr>
      </w:pPr>
    </w:p>
    <w:p w:rsidR="00477762" w:rsidRPr="00584922" w:rsidRDefault="00477762" w:rsidP="00477762">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rsidR="00477762" w:rsidRPr="00584922" w:rsidRDefault="00477762" w:rsidP="00477762">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rsidR="00477762" w:rsidRPr="00584922" w:rsidRDefault="00477762" w:rsidP="00477762">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rsidR="008F712D" w:rsidRPr="00584922" w:rsidRDefault="008F712D" w:rsidP="004B0FAE">
      <w:pPr>
        <w:pStyle w:val="TSTextlnkuslovan"/>
        <w:spacing w:after="0" w:line="240" w:lineRule="auto"/>
        <w:ind w:left="792"/>
        <w:jc w:val="both"/>
        <w:rPr>
          <w:rFonts w:cs="Arial"/>
          <w:bCs/>
          <w:szCs w:val="22"/>
          <w:lang w:val="cs-CZ"/>
        </w:rPr>
      </w:pPr>
    </w:p>
    <w:p w:rsidR="008F712D" w:rsidRPr="00584922" w:rsidRDefault="008F712D" w:rsidP="004B0FAE">
      <w:pPr>
        <w:pStyle w:val="TSTextlnkuslovan"/>
        <w:spacing w:after="0" w:line="240" w:lineRule="auto"/>
        <w:ind w:left="792"/>
        <w:jc w:val="both"/>
        <w:rPr>
          <w:rFonts w:cs="Arial"/>
          <w:bCs/>
          <w:szCs w:val="22"/>
          <w:lang w:val="cs-CZ"/>
        </w:rPr>
      </w:pPr>
    </w:p>
    <w:p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rsidR="00D90930" w:rsidRPr="00584922" w:rsidRDefault="00D90930" w:rsidP="0081332C">
      <w:pPr>
        <w:pStyle w:val="TSTextlnkuslovan"/>
        <w:spacing w:after="0" w:line="240" w:lineRule="auto"/>
        <w:jc w:val="both"/>
        <w:rPr>
          <w:rFonts w:cs="Arial"/>
          <w:szCs w:val="22"/>
          <w:lang w:val="cs-CZ"/>
        </w:rPr>
      </w:pPr>
    </w:p>
    <w:p w:rsidR="008F712D" w:rsidRPr="00584922" w:rsidRDefault="008F712D" w:rsidP="004B0FAE">
      <w:pPr>
        <w:pStyle w:val="TSTextlnkuslovan"/>
        <w:spacing w:after="0" w:line="240" w:lineRule="auto"/>
        <w:ind w:left="792"/>
        <w:jc w:val="both"/>
        <w:rPr>
          <w:rFonts w:cs="Arial"/>
          <w:szCs w:val="22"/>
          <w:lang w:val="cs-CZ"/>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rsidR="002F4B53" w:rsidRPr="00584922" w:rsidRDefault="002F4B53" w:rsidP="002F4B53">
      <w:pPr>
        <w:pStyle w:val="Odstavecseseznamem"/>
        <w:spacing w:after="0" w:line="240" w:lineRule="auto"/>
        <w:contextualSpacing w:val="0"/>
        <w:jc w:val="center"/>
        <w:rPr>
          <w:rFonts w:cs="Arial"/>
          <w:szCs w:val="22"/>
        </w:rPr>
      </w:pPr>
    </w:p>
    <w:p w:rsidR="00477762" w:rsidRPr="00516401" w:rsidRDefault="00477762" w:rsidP="00477762">
      <w:pPr>
        <w:pStyle w:val="Odstavecseseznamem"/>
        <w:numPr>
          <w:ilvl w:val="1"/>
          <w:numId w:val="3"/>
        </w:numPr>
        <w:tabs>
          <w:tab w:val="clear" w:pos="1588"/>
          <w:tab w:val="num" w:pos="737"/>
        </w:tabs>
        <w:spacing w:after="0" w:line="240" w:lineRule="auto"/>
        <w:ind w:left="709"/>
        <w:jc w:val="both"/>
        <w:rPr>
          <w:rFonts w:cs="Arial"/>
          <w:iCs/>
          <w:szCs w:val="22"/>
        </w:rPr>
      </w:pPr>
      <w:r w:rsidRPr="00516401">
        <w:rPr>
          <w:rFonts w:cs="Arial"/>
          <w:iCs/>
          <w:szCs w:val="22"/>
        </w:rPr>
        <w:t xml:space="preserve">Odměna za provedení investorsko-inženýrských činností činí </w:t>
      </w:r>
      <w:r w:rsidRPr="00516401">
        <w:rPr>
          <w:rFonts w:cs="Arial"/>
          <w:b/>
          <w:iCs/>
          <w:szCs w:val="22"/>
          <w:highlight w:val="yellow"/>
          <w:lang w:val="en-US"/>
        </w:rPr>
        <w:t>[</w:t>
      </w:r>
      <w:proofErr w:type="gramStart"/>
      <w:r w:rsidRPr="00516401">
        <w:rPr>
          <w:rFonts w:cs="Arial"/>
          <w:b/>
          <w:iCs/>
          <w:szCs w:val="22"/>
          <w:highlight w:val="yellow"/>
          <w:lang w:val="en-US"/>
        </w:rPr>
        <w:t>DOPLNIT]</w:t>
      </w:r>
      <w:r w:rsidRPr="00516401">
        <w:rPr>
          <w:rFonts w:cs="Arial"/>
          <w:iCs/>
          <w:szCs w:val="22"/>
        </w:rPr>
        <w:t xml:space="preserve">  Kč</w:t>
      </w:r>
      <w:proofErr w:type="gramEnd"/>
      <w:r w:rsidRPr="00516401">
        <w:rPr>
          <w:rFonts w:cs="Arial"/>
          <w:iCs/>
          <w:szCs w:val="22"/>
        </w:rPr>
        <w:t xml:space="preserve"> bez DP</w:t>
      </w:r>
      <w:r w:rsidRPr="00516401">
        <w:rPr>
          <w:rFonts w:cs="Arial"/>
          <w:iCs/>
          <w:szCs w:val="22"/>
          <w:lang w:val="en-US"/>
        </w:rPr>
        <w:t>H</w:t>
      </w:r>
      <w:r w:rsidRPr="00516401">
        <w:rPr>
          <w:rFonts w:cs="Arial"/>
          <w:iCs/>
          <w:szCs w:val="22"/>
        </w:rPr>
        <w:t xml:space="preserve"> (slovy:</w:t>
      </w:r>
      <w:r w:rsidRPr="00516401">
        <w:rPr>
          <w:rFonts w:cs="Arial"/>
          <w:b/>
          <w:iCs/>
          <w:szCs w:val="22"/>
          <w:highlight w:val="yellow"/>
          <w:lang w:val="en-US"/>
        </w:rPr>
        <w:t xml:space="preserve"> [DOPLNIT]</w:t>
      </w:r>
      <w:r w:rsidRPr="00516401">
        <w:rPr>
          <w:rFonts w:cs="Arial"/>
          <w:b/>
          <w:iCs/>
          <w:szCs w:val="22"/>
          <w:lang w:val="en-US"/>
        </w:rPr>
        <w:t xml:space="preserve"> </w:t>
      </w:r>
      <w:r w:rsidRPr="00516401">
        <w:rPr>
          <w:rFonts w:cs="Arial"/>
          <w:iCs/>
          <w:szCs w:val="22"/>
        </w:rPr>
        <w:t xml:space="preserve">korun českých). </w:t>
      </w:r>
    </w:p>
    <w:p w:rsidR="00477762" w:rsidRPr="00516401" w:rsidRDefault="00477762" w:rsidP="00477762">
      <w:pPr>
        <w:pStyle w:val="Odstavecseseznamem"/>
        <w:ind w:left="709"/>
        <w:jc w:val="both"/>
        <w:rPr>
          <w:rFonts w:cs="Arial"/>
          <w:iCs/>
          <w:szCs w:val="22"/>
        </w:rPr>
      </w:pPr>
      <w:r w:rsidRPr="00516401">
        <w:rPr>
          <w:rFonts w:cs="Arial"/>
          <w:iCs/>
          <w:szCs w:val="22"/>
        </w:rPr>
        <w:t xml:space="preserve">Výše odměny byla stanovena dohodou smluvních stran na základě nabídky zhotovitele ze dne </w:t>
      </w:r>
      <w:r w:rsidRPr="00516401">
        <w:rPr>
          <w:rFonts w:cs="Arial"/>
          <w:b/>
          <w:iCs/>
          <w:szCs w:val="22"/>
          <w:highlight w:val="yellow"/>
          <w:lang w:val="en-US"/>
        </w:rPr>
        <w:t>[DOPLNIT]</w:t>
      </w:r>
      <w:r>
        <w:rPr>
          <w:rFonts w:cs="Arial"/>
          <w:b/>
          <w:iCs/>
          <w:szCs w:val="22"/>
          <w:lang w:val="en-US"/>
        </w:rPr>
        <w:t>.</w:t>
      </w:r>
      <w:r w:rsidRPr="00516401">
        <w:rPr>
          <w:rFonts w:cs="Arial"/>
          <w:b/>
          <w:iCs/>
          <w:szCs w:val="22"/>
          <w:lang w:val="en-US"/>
        </w:rPr>
        <w:t xml:space="preserve"> </w:t>
      </w:r>
      <w:r w:rsidRPr="00516401">
        <w:rPr>
          <w:rFonts w:cs="Arial"/>
          <w:iCs/>
          <w:szCs w:val="22"/>
        </w:rPr>
        <w:t xml:space="preserve">Tato odměna je nejvýše přípustná a nepřekročitelná. </w:t>
      </w:r>
    </w:p>
    <w:p w:rsidR="00477762" w:rsidRPr="00516401" w:rsidRDefault="00477762" w:rsidP="00477762">
      <w:pPr>
        <w:ind w:left="709"/>
        <w:jc w:val="both"/>
        <w:rPr>
          <w:rFonts w:cs="Arial"/>
          <w:iCs/>
          <w:szCs w:val="22"/>
        </w:rPr>
      </w:pPr>
      <w:r w:rsidRPr="00516401">
        <w:rPr>
          <w:rFonts w:cs="Arial"/>
          <w:iCs/>
          <w:szCs w:val="22"/>
        </w:rPr>
        <w:t xml:space="preserve">Příkazník je plátcem DPH, která bude účtována podle předpisů platných v době účtování. </w:t>
      </w:r>
    </w:p>
    <w:p w:rsidR="00477762" w:rsidRPr="00516401" w:rsidRDefault="00477762" w:rsidP="00477762">
      <w:pPr>
        <w:ind w:left="709"/>
        <w:jc w:val="both"/>
        <w:rPr>
          <w:rFonts w:cs="Arial"/>
          <w:iCs/>
          <w:szCs w:val="22"/>
        </w:rPr>
      </w:pPr>
      <w:r w:rsidRPr="00516401">
        <w:rPr>
          <w:rFonts w:cs="Arial"/>
          <w:iCs/>
          <w:szCs w:val="22"/>
        </w:rPr>
        <w:t>Výši odměny je možné změnit, dojde-li ke změně sazby DPH. Změna výše odměny může být provedena pouze na základě dohody obou smluvních stran, formou písemného očíslovaného dodatku k této smlouvě.</w:t>
      </w:r>
    </w:p>
    <w:p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rsidR="00006EE7" w:rsidRPr="00584922" w:rsidRDefault="00006EE7" w:rsidP="0081332C">
      <w:pPr>
        <w:pStyle w:val="TSTextlnkuslovan"/>
        <w:tabs>
          <w:tab w:val="num" w:pos="709"/>
        </w:tabs>
        <w:spacing w:after="0" w:line="240" w:lineRule="auto"/>
        <w:ind w:left="709"/>
        <w:jc w:val="both"/>
        <w:rPr>
          <w:rFonts w:cs="Arial"/>
          <w:szCs w:val="22"/>
        </w:rPr>
      </w:pPr>
    </w:p>
    <w:p w:rsidR="00BA23A8" w:rsidRPr="00584922" w:rsidRDefault="00BA23A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rsidR="00BA23A8" w:rsidRPr="00584922" w:rsidRDefault="00BA23A8" w:rsidP="0081332C">
      <w:pPr>
        <w:pStyle w:val="TSTextlnkuslovan"/>
        <w:spacing w:after="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rsidR="00377D0B" w:rsidRPr="005F42E2" w:rsidRDefault="00377D0B" w:rsidP="00377D0B">
      <w:pPr>
        <w:tabs>
          <w:tab w:val="left" w:pos="709"/>
        </w:tabs>
        <w:spacing w:after="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rsidR="00006EE7" w:rsidRPr="00584922" w:rsidRDefault="00006EE7" w:rsidP="0081332C">
      <w:pPr>
        <w:pStyle w:val="TSTextlnkuslovan"/>
        <w:spacing w:after="0" w:line="240" w:lineRule="auto"/>
        <w:jc w:val="both"/>
        <w:rPr>
          <w:rFonts w:cs="Arial"/>
          <w:b/>
          <w:szCs w:val="22"/>
          <w:lang w:val="cs-CZ"/>
        </w:rPr>
      </w:pPr>
    </w:p>
    <w:p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rsidR="00006EE7" w:rsidRPr="00584922" w:rsidRDefault="00006EE7" w:rsidP="0081332C">
      <w:pPr>
        <w:pStyle w:val="TSTextlnkuslovan"/>
        <w:spacing w:after="0" w:line="240" w:lineRule="auto"/>
        <w:ind w:left="1588"/>
        <w:jc w:val="both"/>
        <w:rPr>
          <w:rFonts w:cs="Arial"/>
          <w:szCs w:val="22"/>
        </w:rPr>
      </w:pPr>
    </w:p>
    <w:p w:rsidR="00466D89" w:rsidRDefault="00466D89"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w:t>
      </w:r>
      <w:r w:rsidRPr="00584922">
        <w:rPr>
          <w:rFonts w:cs="Arial"/>
          <w:bCs/>
          <w:szCs w:val="22"/>
        </w:rPr>
        <w:lastRenderedPageBreak/>
        <w:t xml:space="preserve">nejpozději do </w:t>
      </w:r>
      <w:r w:rsidRPr="00584922">
        <w:rPr>
          <w:rFonts w:cs="Arial"/>
          <w:szCs w:val="22"/>
        </w:rPr>
        <w:t>5</w:t>
      </w:r>
      <w:r w:rsidRPr="00584922">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rsidR="00006EE7" w:rsidRPr="00584922" w:rsidRDefault="00006EE7" w:rsidP="0081332C">
      <w:pPr>
        <w:pStyle w:val="TSTextlnkuslovan"/>
        <w:spacing w:after="0" w:line="240" w:lineRule="auto"/>
        <w:jc w:val="both"/>
        <w:rPr>
          <w:rFonts w:cs="Arial"/>
          <w:bCs/>
          <w:szCs w:val="22"/>
        </w:rPr>
      </w:pPr>
    </w:p>
    <w:p w:rsidR="00E953AF" w:rsidRPr="00584922"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rsidR="00C36754" w:rsidRPr="00584922" w:rsidRDefault="00C36754" w:rsidP="00C36754">
      <w:pPr>
        <w:pStyle w:val="TSTextlnkuslovan"/>
        <w:spacing w:after="0" w:line="240" w:lineRule="auto"/>
        <w:ind w:left="737"/>
        <w:jc w:val="both"/>
        <w:rPr>
          <w:rFonts w:cs="Arial"/>
          <w:szCs w:val="22"/>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rsidR="00074AF2" w:rsidRPr="00584922" w:rsidRDefault="00074AF2" w:rsidP="00074AF2">
      <w:pPr>
        <w:pStyle w:val="Odstavecseseznamem"/>
        <w:spacing w:after="0" w:line="240" w:lineRule="auto"/>
        <w:contextualSpacing w:val="0"/>
        <w:jc w:val="center"/>
        <w:rPr>
          <w:rFonts w:cs="Arial"/>
          <w:szCs w:val="22"/>
        </w:rPr>
      </w:pPr>
    </w:p>
    <w:p w:rsidR="0032708A"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rsidR="00006EE7" w:rsidRPr="00584922" w:rsidRDefault="00006EE7" w:rsidP="0081332C">
      <w:pPr>
        <w:pStyle w:val="TSTextlnkuslovan"/>
        <w:spacing w:after="0" w:line="240" w:lineRule="auto"/>
        <w:ind w:left="1588"/>
        <w:jc w:val="both"/>
        <w:rPr>
          <w:rFonts w:cs="Arial"/>
          <w:szCs w:val="22"/>
        </w:rPr>
      </w:pPr>
    </w:p>
    <w:p w:rsidR="00E953AF"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rsidR="00006EE7" w:rsidRPr="00584922" w:rsidRDefault="00006EE7" w:rsidP="0081332C">
      <w:pPr>
        <w:pStyle w:val="TSTextlnkuslovan"/>
        <w:spacing w:after="0" w:line="240" w:lineRule="auto"/>
        <w:jc w:val="both"/>
        <w:rPr>
          <w:rFonts w:cs="Arial"/>
          <w:szCs w:val="22"/>
        </w:rPr>
      </w:pPr>
    </w:p>
    <w:p w:rsidR="00CB478C" w:rsidRDefault="00CB478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rsidR="00006EE7" w:rsidRPr="00584922" w:rsidRDefault="00006EE7" w:rsidP="0081332C">
      <w:pPr>
        <w:pStyle w:val="TSTextlnkuslovan"/>
        <w:spacing w:after="0" w:line="240" w:lineRule="auto"/>
        <w:jc w:val="both"/>
        <w:rPr>
          <w:rFonts w:cs="Arial"/>
          <w:szCs w:val="22"/>
        </w:rPr>
      </w:pPr>
    </w:p>
    <w:p w:rsidR="00E953AF"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rsidR="00006EE7" w:rsidRPr="00584922" w:rsidRDefault="00006EE7" w:rsidP="0081332C">
      <w:pPr>
        <w:pStyle w:val="TSTextlnkuslovan"/>
        <w:spacing w:after="0" w:line="240" w:lineRule="auto"/>
        <w:jc w:val="both"/>
        <w:rPr>
          <w:rFonts w:cs="Arial"/>
          <w:szCs w:val="22"/>
        </w:rPr>
      </w:pPr>
    </w:p>
    <w:p w:rsidR="006C22CD" w:rsidRPr="00584922"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rsidR="00377D0B" w:rsidRPr="00DF2D77" w:rsidRDefault="0080695E" w:rsidP="00377D0B">
      <w:pPr>
        <w:pStyle w:val="TSTextlnkuslovan"/>
        <w:numPr>
          <w:ilvl w:val="1"/>
          <w:numId w:val="3"/>
        </w:numPr>
        <w:tabs>
          <w:tab w:val="clear" w:pos="1588"/>
          <w:tab w:val="num" w:pos="737"/>
        </w:tabs>
        <w:spacing w:after="0" w:line="240" w:lineRule="auto"/>
        <w:ind w:left="737"/>
        <w:jc w:val="both"/>
        <w:rPr>
          <w:rFonts w:cs="Arial"/>
          <w:szCs w:val="22"/>
          <w:lang w:val="cs-CZ"/>
        </w:rPr>
      </w:pPr>
      <w:r w:rsidRPr="00377D0B">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377D0B" w:rsidRPr="00DF2D77">
        <w:rPr>
          <w:rFonts w:cs="Arial"/>
          <w:szCs w:val="22"/>
          <w:lang w:val="cs-CZ"/>
        </w:rPr>
        <w:t xml:space="preserve">ve výši </w:t>
      </w:r>
      <w:r w:rsidR="00377D0B">
        <w:rPr>
          <w:rFonts w:cs="Arial"/>
          <w:szCs w:val="22"/>
          <w:lang w:val="cs-CZ"/>
        </w:rPr>
        <w:t xml:space="preserve">2500 Kč </w:t>
      </w:r>
      <w:r w:rsidR="00377D0B" w:rsidRPr="009F3DA1">
        <w:rPr>
          <w:rFonts w:cs="Arial"/>
          <w:szCs w:val="22"/>
          <w:lang w:val="cs-CZ"/>
        </w:rPr>
        <w:t>včetně DPH</w:t>
      </w:r>
      <w:r w:rsidR="00377D0B">
        <w:rPr>
          <w:rFonts w:cs="Arial"/>
          <w:szCs w:val="22"/>
          <w:lang w:val="cs-CZ"/>
        </w:rPr>
        <w:t xml:space="preserve"> </w:t>
      </w:r>
      <w:r w:rsidR="00377D0B" w:rsidRPr="00DF2D77">
        <w:rPr>
          <w:rFonts w:cs="Arial"/>
          <w:szCs w:val="22"/>
          <w:lang w:val="cs-CZ"/>
        </w:rPr>
        <w:t>za každý jednotlivý případ porušení povinnosti.</w:t>
      </w:r>
    </w:p>
    <w:p w:rsidR="00377D0B" w:rsidRDefault="00377D0B" w:rsidP="00377D0B">
      <w:pPr>
        <w:pStyle w:val="TSTextlnkuslovan"/>
        <w:spacing w:after="0" w:line="240" w:lineRule="auto"/>
        <w:ind w:left="709"/>
        <w:jc w:val="both"/>
        <w:rPr>
          <w:rFonts w:cs="Arial"/>
          <w:szCs w:val="22"/>
          <w:lang w:val="cs-CZ"/>
        </w:rPr>
      </w:pPr>
    </w:p>
    <w:p w:rsidR="0080695E"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rsidR="0081332C" w:rsidRPr="00584922" w:rsidRDefault="0081332C" w:rsidP="0081332C">
      <w:pPr>
        <w:pStyle w:val="TSTextlnkuslovan"/>
        <w:tabs>
          <w:tab w:val="num" w:pos="709"/>
        </w:tabs>
        <w:spacing w:after="0" w:line="240" w:lineRule="auto"/>
        <w:jc w:val="both"/>
        <w:rPr>
          <w:rFonts w:cs="Arial"/>
          <w:szCs w:val="22"/>
          <w:lang w:val="cs-CZ"/>
        </w:rPr>
      </w:pPr>
    </w:p>
    <w:p w:rsidR="0080695E"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rsidR="0081332C" w:rsidRPr="00584922" w:rsidRDefault="0081332C" w:rsidP="0081332C">
      <w:pPr>
        <w:pStyle w:val="TSTextlnkuslovan"/>
        <w:tabs>
          <w:tab w:val="num" w:pos="709"/>
        </w:tabs>
        <w:spacing w:after="0" w:line="240" w:lineRule="auto"/>
        <w:jc w:val="both"/>
        <w:rPr>
          <w:rFonts w:cs="Arial"/>
          <w:szCs w:val="22"/>
          <w:lang w:val="cs-CZ"/>
        </w:rPr>
      </w:pPr>
    </w:p>
    <w:p w:rsidR="0081332C" w:rsidRPr="0028028D" w:rsidRDefault="00AD1A9A" w:rsidP="0028028D">
      <w:pPr>
        <w:pStyle w:val="TSTextlnkuslovan"/>
        <w:numPr>
          <w:ilvl w:val="1"/>
          <w:numId w:val="3"/>
        </w:numPr>
        <w:tabs>
          <w:tab w:val="clear" w:pos="1588"/>
          <w:tab w:val="num" w:pos="709"/>
        </w:tabs>
        <w:spacing w:after="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rsidR="00AD1A9A" w:rsidRPr="00584922" w:rsidRDefault="00AD1A9A"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rsidR="006238EC" w:rsidRPr="00584922" w:rsidRDefault="006238EC" w:rsidP="0081332C">
      <w:pPr>
        <w:pStyle w:val="TSTextlnkuslovan"/>
        <w:spacing w:after="0" w:line="240" w:lineRule="auto"/>
        <w:jc w:val="both"/>
        <w:rPr>
          <w:rFonts w:cs="Arial"/>
          <w:szCs w:val="22"/>
          <w:lang w:val="cs-CZ"/>
        </w:rPr>
      </w:pPr>
    </w:p>
    <w:p w:rsidR="00C72E04" w:rsidRPr="00C72E04" w:rsidRDefault="00C72E04" w:rsidP="00C72E04">
      <w:pPr>
        <w:pStyle w:val="TSTextlnkuslovan"/>
        <w:spacing w:after="0" w:line="240" w:lineRule="auto"/>
        <w:ind w:left="737"/>
        <w:jc w:val="both"/>
        <w:rPr>
          <w:rFonts w:cs="Arial"/>
          <w:szCs w:val="22"/>
          <w:lang w:val="cs-CZ"/>
        </w:rPr>
      </w:pPr>
    </w:p>
    <w:p w:rsidR="00C72E04" w:rsidRPr="0081332C" w:rsidRDefault="00C72E04" w:rsidP="00096501">
      <w:pPr>
        <w:pStyle w:val="TSTextlnkuslovan"/>
        <w:spacing w:after="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rsidR="00C72E04" w:rsidRPr="0081332C" w:rsidRDefault="00C72E04" w:rsidP="00096501">
      <w:pPr>
        <w:pStyle w:val="TSTextlnkuslovan"/>
        <w:spacing w:after="0" w:line="240" w:lineRule="auto"/>
        <w:ind w:left="737"/>
        <w:jc w:val="center"/>
        <w:rPr>
          <w:rFonts w:cs="Arial"/>
          <w:b/>
          <w:szCs w:val="22"/>
          <w:u w:val="single"/>
          <w:lang w:val="cs-CZ"/>
        </w:rPr>
      </w:pPr>
      <w:r w:rsidRPr="0081332C">
        <w:rPr>
          <w:rFonts w:cs="Arial"/>
          <w:b/>
          <w:szCs w:val="22"/>
          <w:u w:val="single"/>
          <w:lang w:val="cs-CZ"/>
        </w:rPr>
        <w:t>Pojištění příkazníka</w:t>
      </w:r>
    </w:p>
    <w:p w:rsidR="00C72E04" w:rsidRPr="00C72E04" w:rsidRDefault="00C72E04" w:rsidP="00C72E04">
      <w:pPr>
        <w:pStyle w:val="TSTextlnkuslovan"/>
        <w:spacing w:after="0" w:line="240" w:lineRule="auto"/>
        <w:ind w:left="737"/>
        <w:jc w:val="both"/>
        <w:rPr>
          <w:rFonts w:cs="Arial"/>
          <w:szCs w:val="22"/>
          <w:lang w:val="cs-CZ"/>
        </w:rPr>
      </w:pPr>
    </w:p>
    <w:p w:rsidR="00A652E5" w:rsidRPr="00584922" w:rsidRDefault="00C72E04" w:rsidP="0081332C">
      <w:pPr>
        <w:pStyle w:val="TSTextlnkuslovan"/>
        <w:spacing w:after="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377D0B">
        <w:rPr>
          <w:rFonts w:cs="Arial"/>
          <w:szCs w:val="22"/>
          <w:lang w:val="cs-CZ"/>
        </w:rPr>
        <w:t xml:space="preserve">300 000 </w:t>
      </w:r>
      <w:r w:rsidRPr="00C72E04">
        <w:rPr>
          <w:rFonts w:cs="Arial"/>
          <w:szCs w:val="22"/>
          <w:lang w:val="cs-CZ"/>
        </w:rPr>
        <w:t>Kč. Příkazník se zavazuje, že po celou dobu trvání této smlouvy bude pojištěn ve smyslu tohoto ustanovení a že nedojde ke snížení pojistné částky pod částku uvedenou v předchozí větě.</w:t>
      </w:r>
    </w:p>
    <w:p w:rsidR="00A652E5" w:rsidRPr="00584922" w:rsidRDefault="00A652E5" w:rsidP="00A87D71">
      <w:pPr>
        <w:pStyle w:val="TSTextlnkuslovan"/>
        <w:spacing w:after="0" w:line="240" w:lineRule="auto"/>
        <w:ind w:left="737"/>
        <w:jc w:val="both"/>
        <w:rPr>
          <w:rFonts w:cs="Arial"/>
          <w:szCs w:val="22"/>
          <w:lang w:val="cs-CZ"/>
        </w:rPr>
      </w:pPr>
    </w:p>
    <w:p w:rsidR="003162F4" w:rsidRPr="00584922" w:rsidRDefault="0081332C" w:rsidP="0081332C">
      <w:pPr>
        <w:pStyle w:val="Odstavecseseznamem"/>
        <w:spacing w:after="0" w:line="240" w:lineRule="auto"/>
        <w:ind w:left="709"/>
        <w:contextualSpacing w:val="0"/>
        <w:jc w:val="center"/>
        <w:rPr>
          <w:rFonts w:cs="Arial"/>
          <w:szCs w:val="22"/>
        </w:rPr>
      </w:pPr>
      <w:r w:rsidRPr="00CC26D5">
        <w:rPr>
          <w:rFonts w:ascii="Times New Roman" w:hAnsi="Times New Roman"/>
          <w:b/>
          <w:szCs w:val="22"/>
        </w:rPr>
        <w:lastRenderedPageBreak/>
        <w:t>Čl. IX</w:t>
      </w:r>
      <w:r w:rsidR="003162F4" w:rsidRPr="00584922">
        <w:rPr>
          <w:rFonts w:cs="Arial"/>
          <w:b/>
          <w:szCs w:val="22"/>
          <w:u w:val="single"/>
        </w:rPr>
        <w:br/>
      </w:r>
      <w:bookmarkStart w:id="12" w:name="_Ref376500584"/>
      <w:r w:rsidR="00933106" w:rsidRPr="00584922">
        <w:rPr>
          <w:rFonts w:cs="Arial"/>
          <w:b/>
          <w:szCs w:val="22"/>
          <w:u w:val="single"/>
        </w:rPr>
        <w:t>Změna závazku</w:t>
      </w:r>
      <w:bookmarkEnd w:id="12"/>
    </w:p>
    <w:p w:rsidR="00074AF2" w:rsidRPr="00584922" w:rsidRDefault="00074AF2" w:rsidP="00074AF2">
      <w:pPr>
        <w:pStyle w:val="Odstavecseseznamem"/>
        <w:spacing w:after="0" w:line="240" w:lineRule="auto"/>
        <w:contextualSpacing w:val="0"/>
        <w:jc w:val="center"/>
        <w:rPr>
          <w:rFonts w:cs="Arial"/>
          <w:szCs w:val="22"/>
        </w:rPr>
      </w:pPr>
    </w:p>
    <w:p w:rsidR="006B2005" w:rsidRPr="0081332C" w:rsidRDefault="0096051C" w:rsidP="00CC26D5">
      <w:pPr>
        <w:pStyle w:val="TSTextlnkuslovan"/>
        <w:numPr>
          <w:ilvl w:val="1"/>
          <w:numId w:val="5"/>
        </w:numPr>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rsidR="0081332C" w:rsidRPr="00584922" w:rsidRDefault="0081332C" w:rsidP="0081332C">
      <w:pPr>
        <w:pStyle w:val="TSTextlnkuslovan"/>
        <w:spacing w:after="0" w:line="240" w:lineRule="auto"/>
        <w:ind w:left="709"/>
        <w:jc w:val="both"/>
        <w:rPr>
          <w:rFonts w:cs="Arial"/>
          <w:szCs w:val="22"/>
        </w:rPr>
      </w:pPr>
    </w:p>
    <w:p w:rsidR="0081332C" w:rsidRPr="0081332C" w:rsidRDefault="00E953AF" w:rsidP="00CC26D5">
      <w:pPr>
        <w:pStyle w:val="TSTextlnkuslovan"/>
        <w:numPr>
          <w:ilvl w:val="1"/>
          <w:numId w:val="5"/>
        </w:numPr>
        <w:spacing w:after="0" w:line="240" w:lineRule="auto"/>
        <w:ind w:left="709" w:hanging="709"/>
        <w:jc w:val="both"/>
        <w:rPr>
          <w:rFonts w:cs="Arial"/>
          <w:szCs w:val="22"/>
        </w:rPr>
      </w:pPr>
      <w:r w:rsidRPr="00584922">
        <w:rPr>
          <w:rFonts w:cs="Arial"/>
          <w:szCs w:val="22"/>
        </w:rPr>
        <w:t xml:space="preserve">K návrhům dodatků k této smlouvě se strany zavazují vyjádřit písemně ve lhůtě 5 dnů </w:t>
      </w:r>
      <w:r w:rsidR="00D75C82" w:rsidRPr="00584922">
        <w:rPr>
          <w:rFonts w:cs="Arial"/>
          <w:szCs w:val="22"/>
          <w:lang w:val="cs-CZ"/>
        </w:rPr>
        <w:br/>
      </w:r>
      <w:r w:rsidRPr="00584922">
        <w:rPr>
          <w:rFonts w:cs="Arial"/>
          <w:szCs w:val="22"/>
        </w:rPr>
        <w:t>od obdržení návrhu dodatku druhé strany. Po tuto dobu je tímto návrhem vázána strana, která ho podala.</w:t>
      </w:r>
      <w:r w:rsidR="00FE4E6C" w:rsidRPr="00584922">
        <w:rPr>
          <w:rFonts w:cs="Arial"/>
          <w:szCs w:val="22"/>
          <w:lang w:val="cs-CZ"/>
        </w:rPr>
        <w:t xml:space="preserve">        </w:t>
      </w:r>
    </w:p>
    <w:p w:rsidR="004D7F05" w:rsidRPr="00584922" w:rsidRDefault="00FE4E6C" w:rsidP="0081332C">
      <w:pPr>
        <w:pStyle w:val="TSTextlnkuslovan"/>
        <w:spacing w:after="0" w:line="240" w:lineRule="auto"/>
        <w:jc w:val="both"/>
        <w:rPr>
          <w:rFonts w:cs="Arial"/>
          <w:szCs w:val="22"/>
        </w:rPr>
      </w:pPr>
      <w:r w:rsidRPr="00584922">
        <w:rPr>
          <w:rFonts w:cs="Arial"/>
          <w:szCs w:val="22"/>
          <w:lang w:val="cs-CZ"/>
        </w:rPr>
        <w:t xml:space="preserve">  </w:t>
      </w:r>
    </w:p>
    <w:p w:rsidR="004D7F05" w:rsidRPr="00584922" w:rsidRDefault="004D7F05" w:rsidP="0028028D">
      <w:pPr>
        <w:numPr>
          <w:ilvl w:val="1"/>
          <w:numId w:val="5"/>
        </w:numPr>
        <w:ind w:left="709" w:hanging="709"/>
        <w:jc w:val="both"/>
        <w:rPr>
          <w:rFonts w:cs="Arial"/>
          <w:szCs w:val="22"/>
          <w:lang w:eastAsia="x-none"/>
        </w:rPr>
      </w:pPr>
      <w:r w:rsidRPr="00584922">
        <w:rPr>
          <w:rFonts w:cs="Arial"/>
          <w:szCs w:val="22"/>
          <w:lang w:eastAsia="x-none"/>
        </w:rPr>
        <w:t>O jakékoliv změně rozsahu činností zhotovitele musí být mezi objednatelem a zhotovitelem uzavřena samostatná písemná smlouva (dodatek k této smlouvě) s dohodnutím ceny a 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rsidR="00FE4E6C" w:rsidRPr="00584922" w:rsidRDefault="00FE4E6C" w:rsidP="004D7F05">
      <w:pPr>
        <w:pStyle w:val="TSTextlnkuslovan"/>
        <w:spacing w:after="0" w:line="240" w:lineRule="auto"/>
        <w:ind w:left="737"/>
        <w:jc w:val="both"/>
        <w:rPr>
          <w:rFonts w:cs="Arial"/>
          <w:szCs w:val="22"/>
        </w:rPr>
      </w:pPr>
      <w:r w:rsidRPr="00584922">
        <w:rPr>
          <w:rFonts w:cs="Arial"/>
          <w:szCs w:val="22"/>
          <w:lang w:val="cs-CZ"/>
        </w:rPr>
        <w:t xml:space="preserve">                  </w:t>
      </w:r>
    </w:p>
    <w:p w:rsidR="00FE4E6C" w:rsidRPr="00584922" w:rsidRDefault="00FE4E6C" w:rsidP="00FE4E6C">
      <w:pPr>
        <w:pStyle w:val="TSTextlnkuslovan"/>
        <w:spacing w:after="0" w:line="240" w:lineRule="auto"/>
        <w:ind w:left="737"/>
        <w:jc w:val="both"/>
        <w:rPr>
          <w:rFonts w:cs="Arial"/>
          <w:szCs w:val="22"/>
          <w:lang w:val="cs-CZ"/>
        </w:rPr>
      </w:pPr>
    </w:p>
    <w:p w:rsidR="00FE4E6C" w:rsidRPr="00584922" w:rsidRDefault="0081332C" w:rsidP="0081332C">
      <w:pPr>
        <w:pStyle w:val="Odstavecseseznamem"/>
        <w:spacing w:after="0" w:line="240" w:lineRule="auto"/>
        <w:ind w:left="0"/>
        <w:contextualSpacing w:val="0"/>
        <w:jc w:val="center"/>
        <w:rPr>
          <w:rFonts w:cs="Arial"/>
          <w:szCs w:val="22"/>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rsidR="001075BF" w:rsidRPr="00584922" w:rsidRDefault="001075BF" w:rsidP="001075BF">
      <w:pPr>
        <w:pStyle w:val="Odstavecseseznamem"/>
        <w:spacing w:after="0" w:line="240" w:lineRule="auto"/>
        <w:ind w:left="0"/>
        <w:rPr>
          <w:rStyle w:val="l-L2Char"/>
          <w:rFonts w:cs="Arial"/>
          <w:szCs w:val="22"/>
        </w:rPr>
      </w:pPr>
    </w:p>
    <w:p w:rsidR="00FE4E6C" w:rsidRPr="0081332C" w:rsidRDefault="001075BF" w:rsidP="00CC26D5">
      <w:pPr>
        <w:pStyle w:val="TSTextlnkuslovan"/>
        <w:numPr>
          <w:ilvl w:val="1"/>
          <w:numId w:val="6"/>
        </w:numPr>
        <w:spacing w:after="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rsidR="0081332C" w:rsidRPr="00584922" w:rsidRDefault="0081332C" w:rsidP="0081332C">
      <w:pPr>
        <w:pStyle w:val="TSTextlnkuslovan"/>
        <w:spacing w:after="0" w:line="240" w:lineRule="auto"/>
        <w:ind w:left="709"/>
        <w:jc w:val="both"/>
        <w:rPr>
          <w:rFonts w:cs="Arial"/>
          <w:szCs w:val="22"/>
        </w:rPr>
      </w:pPr>
    </w:p>
    <w:p w:rsidR="007125C8"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81332C" w:rsidRPr="00584922" w:rsidRDefault="0081332C" w:rsidP="0081332C">
      <w:pPr>
        <w:pStyle w:val="TSTextlnkuslovan"/>
        <w:spacing w:after="0" w:line="240" w:lineRule="auto"/>
        <w:jc w:val="both"/>
        <w:rPr>
          <w:rStyle w:val="l-L2Char"/>
          <w:rFonts w:cs="Arial"/>
          <w:szCs w:val="22"/>
        </w:rPr>
      </w:pPr>
    </w:p>
    <w:p w:rsidR="007125C8" w:rsidRPr="0081332C"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377D0B" w:rsidRPr="00377D0B">
        <w:rPr>
          <w:rStyle w:val="l-L2Char"/>
          <w:rFonts w:cs="Arial"/>
          <w:bCs/>
          <w:szCs w:val="22"/>
          <w:lang w:val="en-US"/>
        </w:rPr>
        <w:t>5 let.</w:t>
      </w:r>
    </w:p>
    <w:p w:rsidR="0081332C" w:rsidRPr="00584922" w:rsidRDefault="0081332C" w:rsidP="0081332C">
      <w:pPr>
        <w:pStyle w:val="TSTextlnkuslovan"/>
        <w:spacing w:after="0" w:line="240" w:lineRule="auto"/>
        <w:jc w:val="both"/>
        <w:rPr>
          <w:rStyle w:val="l-L2Char"/>
          <w:rFonts w:cs="Arial"/>
          <w:szCs w:val="22"/>
        </w:rPr>
      </w:pPr>
    </w:p>
    <w:p w:rsidR="007125C8" w:rsidRPr="0081332C"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rsidR="0081332C" w:rsidRPr="00096501" w:rsidRDefault="0081332C" w:rsidP="0081332C">
      <w:pPr>
        <w:pStyle w:val="TSTextlnkuslovan"/>
        <w:spacing w:after="0" w:line="240" w:lineRule="auto"/>
        <w:jc w:val="both"/>
        <w:rPr>
          <w:rStyle w:val="l-L2Char"/>
          <w:rFonts w:cs="Arial"/>
          <w:szCs w:val="22"/>
        </w:rPr>
      </w:pPr>
    </w:p>
    <w:p w:rsidR="0081332C" w:rsidRPr="0081332C" w:rsidRDefault="00C72E04" w:rsidP="0028028D">
      <w:pPr>
        <w:numPr>
          <w:ilvl w:val="1"/>
          <w:numId w:val="6"/>
        </w:numPr>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rsidR="0081332C" w:rsidRPr="0081332C" w:rsidRDefault="00C72E04" w:rsidP="00CC26D5">
      <w:pPr>
        <w:numPr>
          <w:ilvl w:val="1"/>
          <w:numId w:val="6"/>
        </w:numPr>
        <w:ind w:left="709" w:hanging="709"/>
        <w:rPr>
          <w:rStyle w:val="l-L2Char"/>
          <w:rFonts w:cs="Arial"/>
          <w:szCs w:val="22"/>
          <w:lang w:val="x-none" w:eastAsia="x-none"/>
        </w:rPr>
      </w:pPr>
      <w:r w:rsidRPr="00C72E04">
        <w:rPr>
          <w:rStyle w:val="l-L2Char"/>
          <w:rFonts w:cs="Arial"/>
          <w:szCs w:val="22"/>
          <w:lang w:val="x-none" w:eastAsia="x-none"/>
        </w:rPr>
        <w:lastRenderedPageBreak/>
        <w:t>Zánikem smlouvy zaniká i platnost plné moci udělené dle článku XI odst. 11.1 této smlouvy.</w:t>
      </w:r>
    </w:p>
    <w:p w:rsidR="00477BCC" w:rsidRPr="00477BCC" w:rsidRDefault="00477BCC" w:rsidP="00CC26D5">
      <w:pPr>
        <w:numPr>
          <w:ilvl w:val="1"/>
          <w:numId w:val="6"/>
        </w:numPr>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rsidR="00C72E04" w:rsidRPr="00584922" w:rsidRDefault="00C72E04" w:rsidP="00096501">
      <w:pPr>
        <w:pStyle w:val="TSTextlnkuslovan"/>
        <w:spacing w:after="0" w:line="240" w:lineRule="auto"/>
        <w:ind w:left="1588"/>
        <w:jc w:val="both"/>
        <w:rPr>
          <w:rStyle w:val="l-L2Char"/>
          <w:rFonts w:cs="Arial"/>
          <w:szCs w:val="22"/>
        </w:rPr>
      </w:pPr>
    </w:p>
    <w:p w:rsidR="00FE4E6C" w:rsidRPr="00584922" w:rsidRDefault="00FE4E6C" w:rsidP="00FE4E6C">
      <w:pPr>
        <w:pStyle w:val="TSTextlnkuslovan"/>
        <w:spacing w:after="0" w:line="240" w:lineRule="auto"/>
        <w:jc w:val="both"/>
        <w:rPr>
          <w:rFonts w:cs="Arial"/>
          <w:szCs w:val="22"/>
        </w:rPr>
      </w:pPr>
    </w:p>
    <w:p w:rsidR="003162F4" w:rsidRPr="00584922" w:rsidRDefault="0081332C" w:rsidP="0081332C">
      <w:pPr>
        <w:pStyle w:val="Odstavecseseznamem"/>
        <w:spacing w:after="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3" w:name="_Ref376452732"/>
      <w:r w:rsidR="004733E4" w:rsidRPr="00584922">
        <w:rPr>
          <w:rFonts w:cs="Arial"/>
          <w:b/>
          <w:szCs w:val="22"/>
          <w:u w:val="single"/>
        </w:rPr>
        <w:t>Ujednání všeobecná a závěrečná</w:t>
      </w:r>
      <w:bookmarkEnd w:id="13"/>
    </w:p>
    <w:p w:rsidR="00074AF2" w:rsidRPr="00584922" w:rsidRDefault="00074AF2" w:rsidP="005E6897">
      <w:pPr>
        <w:pStyle w:val="Odstavecseseznamem"/>
        <w:spacing w:after="0" w:line="240" w:lineRule="auto"/>
        <w:contextualSpacing w:val="0"/>
        <w:jc w:val="center"/>
        <w:rPr>
          <w:rFonts w:cs="Arial"/>
          <w:szCs w:val="22"/>
        </w:rPr>
      </w:pPr>
    </w:p>
    <w:p w:rsidR="00FC1D69" w:rsidRDefault="00B85B18" w:rsidP="00CC26D5">
      <w:pPr>
        <w:pStyle w:val="TSTextlnkuslovan"/>
        <w:numPr>
          <w:ilvl w:val="1"/>
          <w:numId w:val="7"/>
        </w:numPr>
        <w:spacing w:after="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rsidR="0081332C" w:rsidRPr="00584922" w:rsidRDefault="0081332C" w:rsidP="0081332C">
      <w:pPr>
        <w:pStyle w:val="TSTextlnkuslovan"/>
        <w:spacing w:after="0" w:line="240" w:lineRule="auto"/>
        <w:ind w:left="2051"/>
        <w:jc w:val="both"/>
        <w:rPr>
          <w:rFonts w:cs="Arial"/>
          <w:bCs/>
          <w:szCs w:val="22"/>
        </w:rPr>
      </w:pPr>
    </w:p>
    <w:p w:rsidR="001E040E" w:rsidRDefault="001E040E" w:rsidP="00CC26D5">
      <w:pPr>
        <w:pStyle w:val="Odstavecseseznamem"/>
        <w:numPr>
          <w:ilvl w:val="1"/>
          <w:numId w:val="7"/>
        </w:numPr>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rsidR="00477BCC" w:rsidRPr="00377D0B" w:rsidRDefault="00477BCC" w:rsidP="0028028D">
      <w:pPr>
        <w:numPr>
          <w:ilvl w:val="1"/>
          <w:numId w:val="7"/>
        </w:numPr>
        <w:ind w:left="709" w:hanging="709"/>
        <w:jc w:val="both"/>
        <w:rPr>
          <w:rFonts w:cs="Arial"/>
          <w:bCs/>
          <w:szCs w:val="22"/>
          <w:lang w:val="x-none" w:eastAsia="x-none"/>
        </w:rPr>
      </w:pPr>
      <w:r w:rsidRPr="00477BCC">
        <w:rPr>
          <w:rFonts w:cs="Arial"/>
          <w:bCs/>
          <w:szCs w:val="22"/>
          <w:lang w:val="x-none" w:eastAsia="x-none"/>
        </w:rPr>
        <w:t xml:space="preserve">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w:t>
      </w:r>
      <w:r w:rsidRPr="00377D0B">
        <w:rPr>
          <w:rFonts w:cs="Arial"/>
          <w:bCs/>
          <w:szCs w:val="22"/>
          <w:lang w:val="x-none" w:eastAsia="x-none"/>
        </w:rPr>
        <w:t>smluv.</w:t>
      </w:r>
    </w:p>
    <w:p w:rsidR="001E040E" w:rsidRPr="00377D0B" w:rsidRDefault="00584922" w:rsidP="00CC26D5">
      <w:pPr>
        <w:pStyle w:val="Odstavecseseznamem"/>
        <w:numPr>
          <w:ilvl w:val="1"/>
          <w:numId w:val="7"/>
        </w:numPr>
        <w:ind w:left="709" w:hanging="709"/>
        <w:jc w:val="both"/>
        <w:rPr>
          <w:rFonts w:cs="Arial"/>
          <w:bCs/>
          <w:szCs w:val="22"/>
        </w:rPr>
      </w:pPr>
      <w:r w:rsidRPr="00377D0B">
        <w:rPr>
          <w:rFonts w:cs="Arial"/>
          <w:bCs/>
          <w:szCs w:val="22"/>
          <w:lang w:val="x-none" w:eastAsia="x-none"/>
        </w:rPr>
        <w:t>Smlouva nabývá platnosti dnem podpisu smluvních stran a účinnosti dnem jejího uveřejnění v registru smluv dle ust. § 6 odst. 1 zákona č. 340/2015 Sb., o registru smluv.</w:t>
      </w:r>
    </w:p>
    <w:p w:rsidR="002404F4" w:rsidRDefault="002404F4" w:rsidP="00CC26D5">
      <w:pPr>
        <w:pStyle w:val="TSTextlnkuslovan"/>
        <w:numPr>
          <w:ilvl w:val="1"/>
          <w:numId w:val="7"/>
        </w:numPr>
        <w:spacing w:after="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rsidR="0081332C" w:rsidRDefault="0081332C" w:rsidP="0081332C">
      <w:pPr>
        <w:pStyle w:val="TSTextlnkuslovan"/>
        <w:spacing w:after="0" w:line="240" w:lineRule="auto"/>
        <w:ind w:left="2051"/>
        <w:jc w:val="both"/>
        <w:rPr>
          <w:rFonts w:cs="Arial"/>
          <w:bCs/>
          <w:szCs w:val="22"/>
        </w:rPr>
      </w:pPr>
    </w:p>
    <w:p w:rsidR="004964FA" w:rsidRPr="004964FA" w:rsidRDefault="004964FA" w:rsidP="0028028D">
      <w:pPr>
        <w:numPr>
          <w:ilvl w:val="1"/>
          <w:numId w:val="7"/>
        </w:numPr>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rsidR="004964FA" w:rsidRPr="00584922" w:rsidRDefault="004964FA" w:rsidP="00096501">
      <w:pPr>
        <w:pStyle w:val="TSTextlnkuslovan"/>
        <w:spacing w:after="0" w:line="240" w:lineRule="auto"/>
        <w:ind w:left="1588"/>
        <w:jc w:val="both"/>
        <w:rPr>
          <w:rFonts w:cs="Arial"/>
          <w:bCs/>
          <w:szCs w:val="22"/>
        </w:rPr>
      </w:pPr>
    </w:p>
    <w:p w:rsidR="0080695E" w:rsidRPr="0081332C" w:rsidRDefault="0080695E" w:rsidP="00CC26D5">
      <w:pPr>
        <w:pStyle w:val="TSTextlnkuslovan"/>
        <w:numPr>
          <w:ilvl w:val="1"/>
          <w:numId w:val="7"/>
        </w:numPr>
        <w:spacing w:after="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rsidR="0081332C" w:rsidRPr="00584922" w:rsidRDefault="0081332C" w:rsidP="0081332C">
      <w:pPr>
        <w:pStyle w:val="TSTextlnkuslovan"/>
        <w:spacing w:after="0" w:line="240" w:lineRule="auto"/>
        <w:jc w:val="both"/>
        <w:rPr>
          <w:rFonts w:cs="Arial"/>
          <w:bCs/>
          <w:szCs w:val="22"/>
        </w:rPr>
      </w:pPr>
    </w:p>
    <w:p w:rsidR="0081332C" w:rsidRDefault="00E953AF" w:rsidP="00CC26D5">
      <w:pPr>
        <w:pStyle w:val="TSTextlnkuslovan"/>
        <w:numPr>
          <w:ilvl w:val="1"/>
          <w:numId w:val="7"/>
        </w:numPr>
        <w:spacing w:after="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rsidR="0081332C" w:rsidRPr="0081332C" w:rsidRDefault="0081332C" w:rsidP="0081332C">
      <w:pPr>
        <w:pStyle w:val="TSTextlnkuslovan"/>
        <w:spacing w:after="0" w:line="240" w:lineRule="auto"/>
        <w:jc w:val="both"/>
        <w:rPr>
          <w:rFonts w:cs="Arial"/>
          <w:szCs w:val="22"/>
        </w:rPr>
      </w:pPr>
    </w:p>
    <w:p w:rsidR="00E953AF" w:rsidRDefault="00E953AF" w:rsidP="00CC26D5">
      <w:pPr>
        <w:pStyle w:val="TSTextlnkuslovan"/>
        <w:numPr>
          <w:ilvl w:val="1"/>
          <w:numId w:val="7"/>
        </w:numPr>
        <w:spacing w:after="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rsidR="0081332C" w:rsidRPr="00584922" w:rsidRDefault="0081332C" w:rsidP="0081332C">
      <w:pPr>
        <w:pStyle w:val="TSTextlnkuslovan"/>
        <w:spacing w:after="0" w:line="240" w:lineRule="auto"/>
        <w:jc w:val="both"/>
        <w:rPr>
          <w:rFonts w:cs="Arial"/>
          <w:szCs w:val="22"/>
        </w:rPr>
      </w:pPr>
    </w:p>
    <w:p w:rsidR="00E953AF" w:rsidRPr="00584922" w:rsidRDefault="00E953AF" w:rsidP="00CC26D5">
      <w:pPr>
        <w:pStyle w:val="TSTextlnkuslovan"/>
        <w:numPr>
          <w:ilvl w:val="1"/>
          <w:numId w:val="7"/>
        </w:numPr>
        <w:spacing w:after="0" w:line="240" w:lineRule="auto"/>
        <w:ind w:left="709" w:hanging="709"/>
        <w:jc w:val="both"/>
        <w:rPr>
          <w:rFonts w:cs="Arial"/>
          <w:szCs w:val="22"/>
        </w:rPr>
      </w:pPr>
      <w:r w:rsidRPr="00584922">
        <w:rPr>
          <w:rFonts w:cs="Arial"/>
          <w:szCs w:val="22"/>
        </w:rPr>
        <w:lastRenderedPageBreak/>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rsidR="006C06F0" w:rsidRPr="00584922" w:rsidRDefault="006C06F0" w:rsidP="00096501">
      <w:pPr>
        <w:pStyle w:val="TSTextlnkuslovan"/>
        <w:spacing w:after="0" w:line="240" w:lineRule="auto"/>
        <w:ind w:left="1588"/>
        <w:jc w:val="both"/>
        <w:rPr>
          <w:rFonts w:cs="Arial"/>
          <w:szCs w:val="22"/>
        </w:rPr>
      </w:pPr>
    </w:p>
    <w:p w:rsidR="00377D0B" w:rsidRPr="00056124" w:rsidRDefault="00377D0B" w:rsidP="00377D0B">
      <w:pPr>
        <w:pStyle w:val="TSTextlnkuslovan"/>
        <w:numPr>
          <w:ilvl w:val="1"/>
          <w:numId w:val="3"/>
        </w:numPr>
        <w:tabs>
          <w:tab w:val="clear" w:pos="1588"/>
          <w:tab w:val="num" w:pos="737"/>
        </w:tabs>
        <w:spacing w:after="0" w:line="240" w:lineRule="auto"/>
        <w:ind w:left="737"/>
        <w:jc w:val="both"/>
        <w:rPr>
          <w:rFonts w:cs="Arial"/>
          <w:szCs w:val="22"/>
          <w:highlight w:val="yellow"/>
        </w:rPr>
      </w:pPr>
      <w:bookmarkStart w:id="14" w:name="_Hlk48816747"/>
      <w:r>
        <w:rPr>
          <w:rFonts w:cs="Arial"/>
          <w:szCs w:val="22"/>
          <w:lang w:val="cs-CZ"/>
        </w:rPr>
        <w:t xml:space="preserve">Tato smlouva je sepsána ve čtyřech vyhotoveních, </w:t>
      </w:r>
      <w:r w:rsidRPr="000B62C2">
        <w:rPr>
          <w:rFonts w:cs="Arial"/>
          <w:szCs w:val="22"/>
          <w:lang w:val="cs-CZ"/>
        </w:rPr>
        <w:t>z toho ve dv</w:t>
      </w:r>
      <w:r>
        <w:rPr>
          <w:rFonts w:cs="Arial"/>
          <w:szCs w:val="22"/>
          <w:lang w:val="cs-CZ"/>
        </w:rPr>
        <w:t xml:space="preserve">ou vyhotoveních pro příkazce </w:t>
      </w:r>
      <w:r w:rsidRPr="000B62C2">
        <w:rPr>
          <w:rFonts w:cs="Arial"/>
          <w:szCs w:val="22"/>
          <w:lang w:val="cs-CZ"/>
        </w:rPr>
        <w:t>a ve</w:t>
      </w:r>
      <w:r>
        <w:rPr>
          <w:rFonts w:cs="Arial"/>
          <w:szCs w:val="22"/>
          <w:lang w:val="cs-CZ"/>
        </w:rPr>
        <w:t xml:space="preserve"> dvou vyhotovení pro příkazníka</w:t>
      </w:r>
      <w:r w:rsidRPr="000B62C2">
        <w:rPr>
          <w:rFonts w:cs="Arial"/>
          <w:szCs w:val="22"/>
          <w:lang w:val="cs-CZ"/>
        </w:rPr>
        <w:t>, z nichž každý má povahu originálu</w:t>
      </w:r>
      <w:r>
        <w:rPr>
          <w:rFonts w:cs="Arial"/>
          <w:szCs w:val="22"/>
          <w:lang w:val="cs-CZ"/>
        </w:rPr>
        <w:t xml:space="preserve">. </w:t>
      </w:r>
      <w:r w:rsidRPr="00056124">
        <w:rPr>
          <w:rFonts w:cs="Arial"/>
          <w:szCs w:val="22"/>
          <w:highlight w:val="yellow"/>
          <w:lang w:val="cs-CZ"/>
        </w:rPr>
        <w:t>(v případě elektronického podpisu bude odstraněno)</w:t>
      </w:r>
    </w:p>
    <w:bookmarkEnd w:id="14"/>
    <w:p w:rsidR="0081332C" w:rsidRPr="0081332C" w:rsidRDefault="0081332C" w:rsidP="0081332C">
      <w:pPr>
        <w:pStyle w:val="TSTextlnkuslovan"/>
        <w:spacing w:after="0" w:line="240" w:lineRule="auto"/>
        <w:jc w:val="both"/>
        <w:rPr>
          <w:rFonts w:cs="Arial"/>
          <w:szCs w:val="22"/>
        </w:rPr>
      </w:pPr>
    </w:p>
    <w:p w:rsidR="00F148EE" w:rsidRPr="00584922" w:rsidRDefault="00CF55E4" w:rsidP="00CC26D5">
      <w:pPr>
        <w:numPr>
          <w:ilvl w:val="1"/>
          <w:numId w:val="7"/>
        </w:numPr>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rsidR="008A7D61" w:rsidRPr="00584922" w:rsidRDefault="008A7D61" w:rsidP="0081332C">
      <w:pPr>
        <w:pStyle w:val="TSTextlnkuslovan"/>
        <w:spacing w:after="0" w:line="240" w:lineRule="auto"/>
        <w:jc w:val="both"/>
        <w:rPr>
          <w:rFonts w:cs="Arial"/>
          <w:szCs w:val="22"/>
          <w:lang w:val="cs-CZ"/>
        </w:rPr>
      </w:pPr>
    </w:p>
    <w:p w:rsidR="008A7D61" w:rsidRPr="00584922" w:rsidRDefault="008A7D61" w:rsidP="008A7D61">
      <w:pPr>
        <w:pStyle w:val="TSTextlnkuslovan"/>
        <w:spacing w:after="0" w:line="240" w:lineRule="auto"/>
        <w:ind w:left="737"/>
        <w:jc w:val="both"/>
        <w:rPr>
          <w:rFonts w:cs="Arial"/>
          <w:szCs w:val="22"/>
          <w:lang w:val="cs-CZ"/>
        </w:rPr>
      </w:pPr>
    </w:p>
    <w:p w:rsidR="00FC1D69" w:rsidRPr="00584922" w:rsidRDefault="00FC1D69" w:rsidP="008A7D61">
      <w:pPr>
        <w:pStyle w:val="TSTextlnkuslovan"/>
        <w:spacing w:after="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ze dne</w:t>
      </w:r>
      <w:r w:rsidR="00377D0B" w:rsidRPr="00DF2D77">
        <w:rPr>
          <w:rFonts w:cs="Arial"/>
          <w:i/>
          <w:szCs w:val="22"/>
          <w:lang w:val="cs-CZ"/>
        </w:rPr>
        <w:t xml:space="preserve"> </w:t>
      </w:r>
      <w:r w:rsidR="00377D0B" w:rsidRPr="00DF2D77">
        <w:rPr>
          <w:rFonts w:cs="Arial"/>
          <w:b/>
          <w:szCs w:val="22"/>
          <w:highlight w:val="yellow"/>
          <w:lang w:val="en-US"/>
        </w:rPr>
        <w:t>[</w:t>
      </w:r>
      <w:proofErr w:type="spellStart"/>
      <w:r w:rsidR="00377D0B">
        <w:rPr>
          <w:rFonts w:cs="Arial"/>
          <w:b/>
          <w:szCs w:val="22"/>
          <w:highlight w:val="yellow"/>
          <w:lang w:val="en-US"/>
        </w:rPr>
        <w:t>bude</w:t>
      </w:r>
      <w:proofErr w:type="spellEnd"/>
      <w:r w:rsidR="00377D0B">
        <w:rPr>
          <w:rFonts w:cs="Arial"/>
          <w:b/>
          <w:szCs w:val="22"/>
          <w:highlight w:val="yellow"/>
          <w:lang w:val="en-US"/>
        </w:rPr>
        <w:t xml:space="preserve"> </w:t>
      </w:r>
      <w:proofErr w:type="spellStart"/>
      <w:r w:rsidR="00377D0B">
        <w:rPr>
          <w:rFonts w:cs="Arial"/>
          <w:b/>
          <w:szCs w:val="22"/>
          <w:highlight w:val="yellow"/>
          <w:lang w:val="en-US"/>
        </w:rPr>
        <w:t>doplněno</w:t>
      </w:r>
      <w:proofErr w:type="spellEnd"/>
      <w:r w:rsidR="00377D0B" w:rsidRPr="00DF2D77">
        <w:rPr>
          <w:rFonts w:cs="Arial"/>
          <w:b/>
          <w:szCs w:val="22"/>
          <w:highlight w:val="yellow"/>
          <w:lang w:val="en-US"/>
        </w:rPr>
        <w:t>]</w:t>
      </w:r>
    </w:p>
    <w:p w:rsidR="008A7D61" w:rsidRPr="00584922" w:rsidRDefault="008A7D61" w:rsidP="008A7D61">
      <w:pPr>
        <w:pStyle w:val="TSTextlnkuslovan"/>
        <w:spacing w:after="0" w:line="240" w:lineRule="auto"/>
        <w:ind w:left="737"/>
        <w:jc w:val="both"/>
        <w:rPr>
          <w:rFonts w:cs="Arial"/>
          <w:i/>
          <w:szCs w:val="22"/>
        </w:rPr>
      </w:pPr>
    </w:p>
    <w:p w:rsidR="00377D0B" w:rsidRDefault="00377D0B" w:rsidP="00377D0B">
      <w:pPr>
        <w:pStyle w:val="TSTextlnkuslovan"/>
        <w:spacing w:after="0" w:line="240" w:lineRule="auto"/>
        <w:jc w:val="both"/>
        <w:rPr>
          <w:rFonts w:cs="Arial"/>
          <w:szCs w:val="22"/>
          <w:lang w:val="cs-CZ"/>
        </w:rPr>
      </w:pPr>
    </w:p>
    <w:p w:rsidR="00377D0B" w:rsidRDefault="00377D0B" w:rsidP="00377D0B">
      <w:pPr>
        <w:pStyle w:val="TSTextlnkuslovan"/>
        <w:spacing w:after="0" w:line="240" w:lineRule="auto"/>
        <w:jc w:val="both"/>
        <w:rPr>
          <w:rFonts w:cs="Arial"/>
          <w:szCs w:val="22"/>
          <w:lang w:val="cs-CZ"/>
        </w:rPr>
      </w:pPr>
    </w:p>
    <w:p w:rsidR="00377D0B" w:rsidRPr="00B463F6" w:rsidRDefault="00377D0B" w:rsidP="00377D0B">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rsidR="00377D0B" w:rsidRPr="00B463F6" w:rsidRDefault="00377D0B" w:rsidP="00377D0B">
      <w:pPr>
        <w:pStyle w:val="TSTextlnkuslovan"/>
        <w:spacing w:after="0" w:line="240" w:lineRule="auto"/>
        <w:jc w:val="both"/>
        <w:rPr>
          <w:rFonts w:cs="Arial"/>
          <w:szCs w:val="22"/>
        </w:rPr>
      </w:pPr>
    </w:p>
    <w:p w:rsidR="00377D0B" w:rsidRPr="00390322" w:rsidRDefault="00377D0B" w:rsidP="00377D0B">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rsidR="00377D0B" w:rsidRDefault="00377D0B" w:rsidP="00377D0B">
      <w:pPr>
        <w:tabs>
          <w:tab w:val="num" w:pos="567"/>
        </w:tabs>
        <w:spacing w:after="0"/>
        <w:rPr>
          <w:rFonts w:cs="Arial"/>
          <w:bCs/>
          <w:szCs w:val="22"/>
        </w:rPr>
      </w:pPr>
    </w:p>
    <w:p w:rsidR="00377D0B" w:rsidRDefault="00377D0B" w:rsidP="00377D0B">
      <w:pPr>
        <w:tabs>
          <w:tab w:val="num" w:pos="567"/>
        </w:tabs>
        <w:spacing w:after="0"/>
        <w:rPr>
          <w:rFonts w:cs="Arial"/>
          <w:bCs/>
          <w:szCs w:val="22"/>
        </w:rPr>
      </w:pPr>
    </w:p>
    <w:p w:rsidR="00377D0B" w:rsidRPr="00390322" w:rsidRDefault="00377D0B" w:rsidP="00377D0B">
      <w:pPr>
        <w:tabs>
          <w:tab w:val="num" w:pos="567"/>
        </w:tabs>
        <w:spacing w:after="0"/>
        <w:rPr>
          <w:rFonts w:cs="Arial"/>
          <w:bCs/>
          <w:szCs w:val="22"/>
        </w:rPr>
      </w:pPr>
    </w:p>
    <w:p w:rsidR="00377D0B" w:rsidRDefault="00377D0B" w:rsidP="00377D0B">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rsidR="00F93EF6" w:rsidRPr="00584922" w:rsidRDefault="00377D0B" w:rsidP="00377D0B">
      <w:pPr>
        <w:suppressAutoHyphens/>
        <w:rPr>
          <w:rFonts w:cs="Arial"/>
          <w:szCs w:val="22"/>
        </w:rPr>
      </w:pPr>
      <w:r w:rsidRPr="00390322">
        <w:rPr>
          <w:rFonts w:cs="Arial"/>
          <w:bCs/>
          <w:szCs w:val="22"/>
        </w:rPr>
        <w:t>vedoucí Pobočky Ústí nad Orlicí</w:t>
      </w:r>
    </w:p>
    <w:sectPr w:rsidR="00F93EF6" w:rsidRPr="00584922" w:rsidSect="00477762">
      <w:headerReference w:type="default" r:id="rId13"/>
      <w:footerReference w:type="even" r:id="rId14"/>
      <w:footerReference w:type="default" r:id="rId15"/>
      <w:headerReference w:type="first" r:id="rId16"/>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4AF" w:rsidRDefault="00D304AF">
      <w:r>
        <w:separator/>
      </w:r>
    </w:p>
  </w:endnote>
  <w:endnote w:type="continuationSeparator" w:id="0">
    <w:p w:rsidR="00D304AF" w:rsidRDefault="00D304AF">
      <w:r>
        <w:continuationSeparator/>
      </w:r>
    </w:p>
  </w:endnote>
  <w:endnote w:type="continuationNotice" w:id="1">
    <w:p w:rsidR="00D304AF" w:rsidRDefault="00D304AF"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4AF" w:rsidRDefault="00D304AF">
      <w:r>
        <w:separator/>
      </w:r>
    </w:p>
  </w:footnote>
  <w:footnote w:type="continuationSeparator" w:id="0">
    <w:p w:rsidR="00D304AF" w:rsidRDefault="00D304AF">
      <w:r>
        <w:continuationSeparator/>
      </w:r>
    </w:p>
  </w:footnote>
  <w:footnote w:type="continuationNotice" w:id="1">
    <w:p w:rsidR="00D304AF" w:rsidRDefault="00D304AF"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22" w:rsidRDefault="005A0B22"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762" w:rsidRPr="00584922" w:rsidRDefault="00477762" w:rsidP="00477762">
    <w:pPr>
      <w:pStyle w:val="Zhlav"/>
      <w:spacing w:after="0" w:line="240" w:lineRule="auto"/>
      <w:jc w:val="right"/>
      <w:rPr>
        <w:rFonts w:cs="Arial"/>
        <w:szCs w:val="22"/>
      </w:rPr>
    </w:pPr>
    <w:r w:rsidRPr="00584922">
      <w:rPr>
        <w:rFonts w:cs="Arial"/>
        <w:szCs w:val="22"/>
      </w:rPr>
      <w:t xml:space="preserve">                                                                                              Číslo smlouvy objednatele:</w:t>
    </w:r>
  </w:p>
  <w:p w:rsidR="00477762" w:rsidRPr="00584922" w:rsidRDefault="00477762" w:rsidP="00477762">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rsidR="00477762" w:rsidRDefault="004777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6"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0C18"/>
    <w:rsid w:val="00165A6A"/>
    <w:rsid w:val="0016642A"/>
    <w:rsid w:val="00173C72"/>
    <w:rsid w:val="00181B49"/>
    <w:rsid w:val="00185973"/>
    <w:rsid w:val="00187A92"/>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77D0B"/>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32C02"/>
    <w:rsid w:val="00450C7A"/>
    <w:rsid w:val="0045287D"/>
    <w:rsid w:val="00462B48"/>
    <w:rsid w:val="00466D89"/>
    <w:rsid w:val="004733E4"/>
    <w:rsid w:val="00477762"/>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691A"/>
    <w:rsid w:val="004E6F21"/>
    <w:rsid w:val="004F74A7"/>
    <w:rsid w:val="004F7DF9"/>
    <w:rsid w:val="00511799"/>
    <w:rsid w:val="00514034"/>
    <w:rsid w:val="00517158"/>
    <w:rsid w:val="0052166D"/>
    <w:rsid w:val="00524131"/>
    <w:rsid w:val="005241D1"/>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0960"/>
    <w:rsid w:val="005C0B3B"/>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22A7E"/>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2B23"/>
    <w:rsid w:val="00803B5D"/>
    <w:rsid w:val="0080695E"/>
    <w:rsid w:val="0081332C"/>
    <w:rsid w:val="00815857"/>
    <w:rsid w:val="00817E4D"/>
    <w:rsid w:val="00821DED"/>
    <w:rsid w:val="00827500"/>
    <w:rsid w:val="00832B62"/>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304AF"/>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D7EA8"/>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7F11"/>
    <w:rsid w:val="00E74C2B"/>
    <w:rsid w:val="00E7685D"/>
    <w:rsid w:val="00E809D9"/>
    <w:rsid w:val="00E9264F"/>
    <w:rsid w:val="00E953AF"/>
    <w:rsid w:val="00E973AC"/>
    <w:rsid w:val="00EA20E8"/>
    <w:rsid w:val="00EA3CE5"/>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08178166-538B-4246-8D01-6FB6119B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AgNormal">
    <w:name w:val="Ag Normal"/>
    <w:link w:val="AgNormalChar"/>
    <w:qFormat/>
    <w:rsid w:val="00477762"/>
    <w:pPr>
      <w:spacing w:after="120"/>
      <w:ind w:firstLine="567"/>
      <w:jc w:val="both"/>
    </w:pPr>
    <w:rPr>
      <w:rFonts w:ascii="Arial" w:hAnsi="Arial" w:cs="Arial"/>
      <w:sz w:val="24"/>
      <w:szCs w:val="24"/>
    </w:rPr>
  </w:style>
  <w:style w:type="character" w:customStyle="1" w:styleId="AgNormalChar">
    <w:name w:val="Ag Normal Char"/>
    <w:link w:val="AgNormal"/>
    <w:rsid w:val="00477762"/>
    <w:rPr>
      <w:rFonts w:ascii="Arial" w:hAnsi="Arial" w:cs="Arial"/>
      <w:sz w:val="24"/>
      <w:szCs w:val="24"/>
    </w:rPr>
  </w:style>
  <w:style w:type="character" w:customStyle="1" w:styleId="ZhlavChar">
    <w:name w:val="Záhlaví Char"/>
    <w:link w:val="Zhlav"/>
    <w:rsid w:val="0047776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18573E-5FB9-45B5-A230-E32E128EFF22}">
  <ds:schemaRefs>
    <ds:schemaRef ds:uri="http://schemas.openxmlformats.org/officeDocument/2006/bibliography"/>
  </ds:schemaRefs>
</ds:datastoreItem>
</file>

<file path=customXml/itemProps3.xml><?xml version="1.0" encoding="utf-8"?>
<ds:datastoreItem xmlns:ds="http://schemas.openxmlformats.org/officeDocument/2006/customXml" ds:itemID="{7AE9C8C4-9F5A-4DF8-9601-40FEB93B0C1A}">
  <ds:schemaRefs>
    <ds:schemaRef ds:uri="http://schemas.microsoft.com/sharepoint/v3/contenttype/forms"/>
  </ds:schemaRefs>
</ds:datastoreItem>
</file>

<file path=customXml/itemProps4.xml><?xml version="1.0" encoding="utf-8"?>
<ds:datastoreItem xmlns:ds="http://schemas.openxmlformats.org/officeDocument/2006/customXml" ds:itemID="{C4D992EC-000E-4DE7-9CE4-3B9940CF9201}">
  <ds:schemaRefs>
    <ds:schemaRef ds:uri="http://schemas.microsoft.com/office/2006/metadata/longProperties"/>
  </ds:schemaRefs>
</ds:datastoreItem>
</file>

<file path=customXml/itemProps5.xml><?xml version="1.0" encoding="utf-8"?>
<ds:datastoreItem xmlns:ds="http://schemas.openxmlformats.org/officeDocument/2006/customXml" ds:itemID="{4B0D801B-479C-406E-9A4F-78806292E4AA}">
  <ds:schemaRefs>
    <ds:schemaRef ds:uri="8d690c5f-7846-456b-922c-7f81e7b73eda"/>
    <ds:schemaRef ds:uri="http://schemas.microsoft.com/office/infopath/2007/PartnerControls"/>
    <ds:schemaRef ds:uri="http://purl.org/dc/elements/1.1/"/>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AAAFA563-7BD2-4112-BB0A-360E074E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3477</Words>
  <Characters>20516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2</cp:revision>
  <cp:lastPrinted>2014-03-14T11:37:00Z</cp:lastPrinted>
  <dcterms:created xsi:type="dcterms:W3CDTF">2020-08-20T12:31:00Z</dcterms:created>
  <dcterms:modified xsi:type="dcterms:W3CDTF">2020-08-20T12:31:00Z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